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1BACE" w14:textId="77777777" w:rsidR="00B41C65" w:rsidRPr="00BB0FDF" w:rsidRDefault="0094518C" w:rsidP="00033749">
      <w:pPr>
        <w:ind w:left="708" w:firstLine="708"/>
        <w:jc w:val="both"/>
        <w:rPr>
          <w:rFonts w:ascii="Arial" w:hAnsi="Arial" w:cs="Arial"/>
          <w:b/>
          <w:sz w:val="20"/>
          <w:szCs w:val="20"/>
          <w:u w:val="single"/>
        </w:rPr>
      </w:pPr>
      <w:r w:rsidRPr="00BB0FDF">
        <w:rPr>
          <w:rFonts w:ascii="Arial" w:hAnsi="Arial" w:cs="Arial"/>
          <w:noProof/>
          <w:sz w:val="20"/>
          <w:szCs w:val="20"/>
          <w:lang w:val="es-ES"/>
        </w:rPr>
        <w:drawing>
          <wp:inline distT="0" distB="0" distL="0" distR="0" wp14:anchorId="70F21CD9" wp14:editId="1349A9D8">
            <wp:extent cx="4076700" cy="1990725"/>
            <wp:effectExtent l="19050" t="0" r="0" b="0"/>
            <wp:docPr id="1" name="Imagen 1" descr="TICC15-MA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ICC15-MAIL2"/>
                    <pic:cNvPicPr>
                      <a:picLocks noChangeAspect="1" noChangeArrowheads="1"/>
                    </pic:cNvPicPr>
                  </pic:nvPicPr>
                  <pic:blipFill>
                    <a:blip r:embed="rId6"/>
                    <a:srcRect/>
                    <a:stretch>
                      <a:fillRect/>
                    </a:stretch>
                  </pic:blipFill>
                  <pic:spPr bwMode="auto">
                    <a:xfrm>
                      <a:off x="0" y="0"/>
                      <a:ext cx="4076700" cy="1990725"/>
                    </a:xfrm>
                    <a:prstGeom prst="rect">
                      <a:avLst/>
                    </a:prstGeom>
                    <a:noFill/>
                    <a:ln w="9525">
                      <a:noFill/>
                      <a:miter lim="800000"/>
                      <a:headEnd/>
                      <a:tailEnd/>
                    </a:ln>
                  </pic:spPr>
                </pic:pic>
              </a:graphicData>
            </a:graphic>
          </wp:inline>
        </w:drawing>
      </w:r>
    </w:p>
    <w:p w14:paraId="2A284009" w14:textId="77777777" w:rsidR="00B87C50" w:rsidRPr="00BB0FDF" w:rsidRDefault="00B87C50" w:rsidP="00BB0FDF">
      <w:pPr>
        <w:jc w:val="both"/>
        <w:rPr>
          <w:rFonts w:ascii="Arial" w:hAnsi="Arial" w:cs="Arial"/>
          <w:sz w:val="20"/>
          <w:szCs w:val="20"/>
        </w:rPr>
      </w:pPr>
    </w:p>
    <w:p w14:paraId="652D72E2" w14:textId="77777777" w:rsidR="004601A3" w:rsidRPr="00BB0FDF" w:rsidRDefault="004601A3" w:rsidP="00BB0FDF">
      <w:pPr>
        <w:jc w:val="both"/>
        <w:rPr>
          <w:rFonts w:ascii="Arial" w:hAnsi="Arial" w:cs="Arial"/>
          <w:sz w:val="20"/>
          <w:szCs w:val="20"/>
        </w:rPr>
      </w:pPr>
    </w:p>
    <w:p w14:paraId="1B9D2B3C" w14:textId="77777777" w:rsidR="004601A3" w:rsidRPr="00BB0FDF" w:rsidRDefault="004601A3" w:rsidP="00BB0FDF">
      <w:pPr>
        <w:jc w:val="center"/>
        <w:rPr>
          <w:rFonts w:ascii="Arial" w:hAnsi="Arial" w:cs="Arial"/>
          <w:b/>
          <w:sz w:val="20"/>
          <w:szCs w:val="20"/>
          <w:u w:val="single"/>
        </w:rPr>
      </w:pPr>
      <w:r w:rsidRPr="00BB0FDF">
        <w:rPr>
          <w:rFonts w:ascii="Arial" w:hAnsi="Arial" w:cs="Arial"/>
          <w:b/>
          <w:sz w:val="20"/>
          <w:szCs w:val="20"/>
          <w:u w:val="single"/>
        </w:rPr>
        <w:t>NOTA DE PRENSA</w:t>
      </w:r>
    </w:p>
    <w:p w14:paraId="77905C2F" w14:textId="77777777" w:rsidR="004601A3" w:rsidRPr="00BB0FDF" w:rsidRDefault="004601A3" w:rsidP="00BB0FDF">
      <w:pPr>
        <w:jc w:val="both"/>
        <w:rPr>
          <w:rFonts w:ascii="Arial" w:hAnsi="Arial" w:cs="Arial"/>
          <w:sz w:val="20"/>
          <w:szCs w:val="20"/>
        </w:rPr>
      </w:pPr>
    </w:p>
    <w:p w14:paraId="782D6A89" w14:textId="5795438A" w:rsidR="004601A3" w:rsidRPr="00BB0FDF" w:rsidRDefault="004601A3" w:rsidP="00BB0FDF">
      <w:pPr>
        <w:jc w:val="both"/>
        <w:rPr>
          <w:rFonts w:ascii="Arial" w:hAnsi="Arial" w:cs="Arial"/>
          <w:b/>
          <w:sz w:val="20"/>
          <w:szCs w:val="20"/>
        </w:rPr>
      </w:pPr>
      <w:r w:rsidRPr="00BB0FDF">
        <w:rPr>
          <w:rFonts w:ascii="Arial" w:hAnsi="Arial" w:cs="Arial"/>
          <w:b/>
          <w:sz w:val="20"/>
          <w:szCs w:val="20"/>
        </w:rPr>
        <w:t>LAS REDES 5G, EL BIG DATA Y EL INTERNET DE LAS COSAS LIDERARÁ</w:t>
      </w:r>
      <w:r w:rsidR="00BC562B" w:rsidRPr="00BB0FDF">
        <w:rPr>
          <w:rFonts w:ascii="Arial" w:hAnsi="Arial" w:cs="Arial"/>
          <w:b/>
          <w:sz w:val="20"/>
          <w:szCs w:val="20"/>
        </w:rPr>
        <w:t>N LA INNOVACIÓN</w:t>
      </w:r>
      <w:r w:rsidR="00A764F7" w:rsidRPr="00BB0FDF">
        <w:rPr>
          <w:rFonts w:ascii="Arial" w:hAnsi="Arial" w:cs="Arial"/>
          <w:b/>
          <w:sz w:val="20"/>
          <w:szCs w:val="20"/>
        </w:rPr>
        <w:t xml:space="preserve"> INTERNACIONAL</w:t>
      </w:r>
      <w:r w:rsidR="00BC562B" w:rsidRPr="00BB0FDF">
        <w:rPr>
          <w:rFonts w:ascii="Arial" w:hAnsi="Arial" w:cs="Arial"/>
          <w:b/>
          <w:sz w:val="20"/>
          <w:szCs w:val="20"/>
        </w:rPr>
        <w:t xml:space="preserve"> EN EL SECTOR </w:t>
      </w:r>
      <w:r w:rsidR="00D64FC6" w:rsidRPr="00BB0FDF">
        <w:rPr>
          <w:rFonts w:ascii="Arial" w:hAnsi="Arial" w:cs="Arial"/>
          <w:b/>
          <w:sz w:val="20"/>
          <w:szCs w:val="20"/>
        </w:rPr>
        <w:t xml:space="preserve">TICC </w:t>
      </w:r>
      <w:r w:rsidR="00BC562B" w:rsidRPr="00BB0FDF">
        <w:rPr>
          <w:rFonts w:ascii="Arial" w:hAnsi="Arial" w:cs="Arial"/>
          <w:b/>
          <w:sz w:val="20"/>
          <w:szCs w:val="20"/>
        </w:rPr>
        <w:t>HASTA 2018</w:t>
      </w:r>
    </w:p>
    <w:p w14:paraId="015D0687" w14:textId="77777777" w:rsidR="00BC562B" w:rsidRPr="00BB0FDF" w:rsidRDefault="00BC562B" w:rsidP="00BB0FDF">
      <w:pPr>
        <w:jc w:val="both"/>
        <w:rPr>
          <w:rFonts w:ascii="Arial" w:hAnsi="Arial" w:cs="Arial"/>
          <w:b/>
          <w:sz w:val="20"/>
          <w:szCs w:val="20"/>
        </w:rPr>
      </w:pPr>
    </w:p>
    <w:p w14:paraId="7284BEE8" w14:textId="25F73DEF" w:rsidR="00BB0FDF" w:rsidRDefault="00BB0FDF" w:rsidP="00BB0FDF">
      <w:pPr>
        <w:pStyle w:val="Prrafodelista"/>
        <w:numPr>
          <w:ilvl w:val="0"/>
          <w:numId w:val="8"/>
        </w:numPr>
        <w:jc w:val="both"/>
        <w:rPr>
          <w:rFonts w:ascii="Arial" w:hAnsi="Arial" w:cs="Arial"/>
          <w:b/>
          <w:sz w:val="20"/>
          <w:szCs w:val="20"/>
          <w:shd w:val="clear" w:color="auto" w:fill="FFFFFF"/>
        </w:rPr>
      </w:pPr>
      <w:r>
        <w:rPr>
          <w:rFonts w:ascii="Arial" w:hAnsi="Arial" w:cs="Arial"/>
          <w:b/>
          <w:sz w:val="20"/>
          <w:szCs w:val="20"/>
        </w:rPr>
        <w:t>Business TICC 2015</w:t>
      </w:r>
      <w:r w:rsidRPr="00BB0FDF">
        <w:rPr>
          <w:rFonts w:ascii="Arial" w:hAnsi="Arial" w:cs="Arial"/>
          <w:b/>
          <w:sz w:val="20"/>
          <w:szCs w:val="20"/>
        </w:rPr>
        <w:t xml:space="preserve">, que se desarrolla hasta mañana en el Palacio de Ferias y Congresos de Málaga, ha sido inaugurado por el secretario general de Innovación, Industria y Energía de la Junta de Andalucía, Vicente Fernández, </w:t>
      </w:r>
      <w:r w:rsidRPr="00BB0FDF">
        <w:rPr>
          <w:rFonts w:ascii="Arial" w:hAnsi="Arial" w:cs="Arial"/>
          <w:b/>
          <w:sz w:val="20"/>
          <w:szCs w:val="20"/>
          <w:shd w:val="clear" w:color="auto" w:fill="FFFFFF"/>
        </w:rPr>
        <w:t>el presidente de la Asociación Clúster de Empresarios de Tecnologías de la Información y Comunicación de Andalucía (Eticom), Fernando Rodríguez del Estal, y la cónsul general de Perú en Andalucía, Lucía Cristina Trindade Díaz de Buitrón.</w:t>
      </w:r>
    </w:p>
    <w:p w14:paraId="58DD78F3" w14:textId="77777777" w:rsidR="00BB0FDF" w:rsidRPr="00BB0FDF" w:rsidRDefault="00BB0FDF" w:rsidP="00BB0FDF">
      <w:pPr>
        <w:pStyle w:val="Prrafodelista"/>
        <w:jc w:val="both"/>
        <w:rPr>
          <w:rFonts w:ascii="Arial" w:hAnsi="Arial" w:cs="Arial"/>
          <w:b/>
          <w:sz w:val="20"/>
          <w:szCs w:val="20"/>
          <w:shd w:val="clear" w:color="auto" w:fill="FFFFFF"/>
        </w:rPr>
      </w:pPr>
    </w:p>
    <w:p w14:paraId="3176C62A" w14:textId="03A14E96" w:rsidR="00BB0FDF" w:rsidRPr="00033749" w:rsidRDefault="00BB0FDF" w:rsidP="00BB0FDF">
      <w:pPr>
        <w:pStyle w:val="Prrafodelista"/>
        <w:numPr>
          <w:ilvl w:val="0"/>
          <w:numId w:val="8"/>
        </w:numPr>
        <w:jc w:val="both"/>
        <w:rPr>
          <w:rFonts w:ascii="Arial" w:hAnsi="Arial" w:cs="Arial"/>
          <w:b/>
          <w:sz w:val="20"/>
          <w:szCs w:val="20"/>
          <w:shd w:val="clear" w:color="auto" w:fill="FFFFFF"/>
        </w:rPr>
      </w:pPr>
      <w:r w:rsidRPr="00BB0FDF">
        <w:rPr>
          <w:rFonts w:ascii="Arial" w:hAnsi="Arial" w:cs="Arial"/>
          <w:b/>
          <w:sz w:val="20"/>
          <w:szCs w:val="20"/>
          <w:lang w:val="es-ES"/>
        </w:rPr>
        <w:t>El secretario general de Innovación, Industria y Energía de la Junta de Andalucía, Vicente Fernández, ha cuantificando en “4.000 millones de euros la facturación del secto</w:t>
      </w:r>
      <w:r w:rsidR="00D06217">
        <w:rPr>
          <w:rFonts w:ascii="Arial" w:hAnsi="Arial" w:cs="Arial"/>
          <w:b/>
          <w:sz w:val="20"/>
          <w:szCs w:val="20"/>
          <w:lang w:val="es-ES"/>
        </w:rPr>
        <w:t>r TICC en Andalucía, que genera</w:t>
      </w:r>
      <w:r w:rsidRPr="00BB0FDF">
        <w:rPr>
          <w:rFonts w:ascii="Arial" w:hAnsi="Arial" w:cs="Arial"/>
          <w:b/>
          <w:sz w:val="20"/>
          <w:szCs w:val="20"/>
          <w:lang w:val="es-ES"/>
        </w:rPr>
        <w:t xml:space="preserve"> 30.000 puestos de trabajo”.  </w:t>
      </w:r>
    </w:p>
    <w:p w14:paraId="4430CDBD" w14:textId="77777777" w:rsidR="00033749" w:rsidRPr="00033749" w:rsidRDefault="00033749" w:rsidP="00033749">
      <w:pPr>
        <w:jc w:val="both"/>
        <w:rPr>
          <w:rFonts w:ascii="Arial" w:hAnsi="Arial" w:cs="Arial"/>
          <w:b/>
          <w:sz w:val="20"/>
          <w:szCs w:val="20"/>
          <w:shd w:val="clear" w:color="auto" w:fill="FFFFFF"/>
        </w:rPr>
      </w:pPr>
    </w:p>
    <w:p w14:paraId="634A563A" w14:textId="77777777" w:rsidR="00277750" w:rsidRPr="00BB0FDF" w:rsidRDefault="00277750" w:rsidP="00BB0FDF">
      <w:pPr>
        <w:jc w:val="both"/>
        <w:rPr>
          <w:rFonts w:ascii="Arial" w:hAnsi="Arial" w:cs="Arial"/>
          <w:b/>
          <w:sz w:val="20"/>
          <w:szCs w:val="20"/>
        </w:rPr>
      </w:pPr>
    </w:p>
    <w:p w14:paraId="59CB8AA7" w14:textId="1F687C1E" w:rsidR="00F16236" w:rsidRPr="00BB0FDF" w:rsidRDefault="00D64FC6" w:rsidP="00BB0FDF">
      <w:pPr>
        <w:widowControl w:val="0"/>
        <w:autoSpaceDE w:val="0"/>
        <w:autoSpaceDN w:val="0"/>
        <w:adjustRightInd w:val="0"/>
        <w:spacing w:after="160" w:line="259" w:lineRule="auto"/>
        <w:ind w:right="-198"/>
        <w:jc w:val="both"/>
        <w:rPr>
          <w:rFonts w:ascii="Arial" w:hAnsi="Arial" w:cs="Arial"/>
          <w:sz w:val="20"/>
          <w:szCs w:val="20"/>
          <w:lang w:val="es-ES"/>
        </w:rPr>
      </w:pPr>
      <w:r w:rsidRPr="00BB0FDF">
        <w:rPr>
          <w:rFonts w:ascii="Arial" w:hAnsi="Arial" w:cs="Arial"/>
          <w:b/>
          <w:sz w:val="20"/>
          <w:szCs w:val="20"/>
          <w:lang w:val="es-ES"/>
        </w:rPr>
        <w:t>Málaga, 10 de junio de 2015</w:t>
      </w:r>
      <w:r w:rsidRPr="00BB0FDF">
        <w:rPr>
          <w:rFonts w:ascii="Arial" w:hAnsi="Arial" w:cs="Arial"/>
          <w:sz w:val="20"/>
          <w:szCs w:val="20"/>
          <w:lang w:val="es-ES"/>
        </w:rPr>
        <w:t xml:space="preserve">.- Las redes 5G, el Big Data y el Internet de las Cosas serán la clave de </w:t>
      </w:r>
      <w:r w:rsidR="00A764F7" w:rsidRPr="00BB0FDF">
        <w:rPr>
          <w:rFonts w:ascii="Arial" w:hAnsi="Arial" w:cs="Arial"/>
          <w:sz w:val="20"/>
          <w:szCs w:val="20"/>
          <w:lang w:val="es-ES"/>
        </w:rPr>
        <w:t>la innovación en el sector TICC, en España y en el ámbito internacional, hasta 2018. Así lo han</w:t>
      </w:r>
      <w:r w:rsidRPr="00BB0FDF">
        <w:rPr>
          <w:rFonts w:ascii="Arial" w:hAnsi="Arial" w:cs="Arial"/>
          <w:sz w:val="20"/>
          <w:szCs w:val="20"/>
          <w:lang w:val="es-ES"/>
        </w:rPr>
        <w:t xml:space="preserve"> puesto de relieve los expertos participantes en Business TICC 20</w:t>
      </w:r>
      <w:r w:rsidR="00F16236" w:rsidRPr="00BB0FDF">
        <w:rPr>
          <w:rFonts w:ascii="Arial" w:hAnsi="Arial" w:cs="Arial"/>
          <w:sz w:val="20"/>
          <w:szCs w:val="20"/>
          <w:lang w:val="es-ES"/>
        </w:rPr>
        <w:t xml:space="preserve">15, que se celebra hasta mañana </w:t>
      </w:r>
      <w:r w:rsidRPr="00BB0FDF">
        <w:rPr>
          <w:rFonts w:ascii="Arial" w:hAnsi="Arial" w:cs="Arial"/>
          <w:sz w:val="20"/>
          <w:szCs w:val="20"/>
          <w:lang w:val="es-ES"/>
        </w:rPr>
        <w:t xml:space="preserve">jueves en Málaga </w:t>
      </w:r>
      <w:r w:rsidR="00A764F7" w:rsidRPr="00BB0FDF">
        <w:rPr>
          <w:rFonts w:ascii="Arial" w:hAnsi="Arial" w:cs="Arial"/>
          <w:sz w:val="20"/>
          <w:szCs w:val="20"/>
          <w:lang w:val="es-ES"/>
        </w:rPr>
        <w:t>con cerca de 500 empresas y alrededor de un millar de asis</w:t>
      </w:r>
      <w:r w:rsidR="00F16236" w:rsidRPr="00BB0FDF">
        <w:rPr>
          <w:rFonts w:ascii="Arial" w:hAnsi="Arial" w:cs="Arial"/>
          <w:sz w:val="20"/>
          <w:szCs w:val="20"/>
          <w:lang w:val="es-ES"/>
        </w:rPr>
        <w:t>tentes.</w:t>
      </w:r>
    </w:p>
    <w:p w14:paraId="78BED8FD" w14:textId="7948D313" w:rsidR="002227B6" w:rsidRPr="00BB0FDF" w:rsidRDefault="00BB0FDF" w:rsidP="00BB0FDF">
      <w:pPr>
        <w:jc w:val="both"/>
        <w:rPr>
          <w:rFonts w:ascii="Arial" w:hAnsi="Arial" w:cs="Arial"/>
          <w:sz w:val="20"/>
          <w:szCs w:val="20"/>
          <w:shd w:val="clear" w:color="auto" w:fill="FFFFFF"/>
        </w:rPr>
      </w:pPr>
      <w:r>
        <w:rPr>
          <w:rFonts w:ascii="Arial" w:hAnsi="Arial" w:cs="Arial"/>
          <w:sz w:val="20"/>
          <w:szCs w:val="20"/>
        </w:rPr>
        <w:t xml:space="preserve">Business TICC es </w:t>
      </w:r>
      <w:r w:rsidR="002227B6" w:rsidRPr="00BB0FDF">
        <w:rPr>
          <w:rFonts w:ascii="Arial" w:hAnsi="Arial" w:cs="Arial"/>
          <w:sz w:val="20"/>
          <w:szCs w:val="20"/>
        </w:rPr>
        <w:t xml:space="preserve">el mayor foro internacional de negocios y networking del mercado hispanohablante del sector de las Tecnologías de la Información, la Comunicación y Contenidos Digitales, que se celebra en España. El evento, que se desarrolla hasta mañana en el Palacio de Ferias y Congresos de Málaga, ha sido inaugurado por el secretario general de Innovación, Industria y Energía de la Junta de Andalucía, Vicente Fernández, </w:t>
      </w:r>
      <w:r w:rsidR="002227B6" w:rsidRPr="00BB0FDF">
        <w:rPr>
          <w:rFonts w:ascii="Arial" w:hAnsi="Arial" w:cs="Arial"/>
          <w:sz w:val="20"/>
          <w:szCs w:val="20"/>
          <w:shd w:val="clear" w:color="auto" w:fill="FFFFFF"/>
        </w:rPr>
        <w:t>el presidente de la Asociación Clúster de Empresarios de Tecnologías de la Información y Comunicación de Andalucía (Eticom), Fernando Rodríguez del Estal, y la cónsul general de Perú en Andalucía, Lucía Cristina Trindade Díaz de Buitrón.</w:t>
      </w:r>
    </w:p>
    <w:p w14:paraId="6659A72E" w14:textId="77777777" w:rsidR="002227B6" w:rsidRPr="00BB0FDF" w:rsidRDefault="002227B6" w:rsidP="00BB0FDF">
      <w:pPr>
        <w:jc w:val="both"/>
        <w:rPr>
          <w:rFonts w:ascii="Arial" w:hAnsi="Arial" w:cs="Arial"/>
          <w:sz w:val="20"/>
          <w:szCs w:val="20"/>
          <w:shd w:val="clear" w:color="auto" w:fill="FFFFFF"/>
        </w:rPr>
      </w:pPr>
    </w:p>
    <w:p w14:paraId="07D49982" w14:textId="2E640649" w:rsidR="002227B6" w:rsidRDefault="00F16236" w:rsidP="00BB0FDF">
      <w:pPr>
        <w:jc w:val="both"/>
        <w:rPr>
          <w:rFonts w:ascii="Arial" w:hAnsi="Arial" w:cs="Arial"/>
          <w:sz w:val="20"/>
          <w:szCs w:val="20"/>
          <w:lang w:val="es-ES"/>
        </w:rPr>
      </w:pPr>
      <w:r w:rsidRPr="00BB0FDF">
        <w:rPr>
          <w:rFonts w:ascii="Arial" w:hAnsi="Arial" w:cs="Arial"/>
          <w:sz w:val="20"/>
          <w:szCs w:val="20"/>
          <w:lang w:val="es-ES"/>
        </w:rPr>
        <w:t>Durante el acto inaugural, el sec</w:t>
      </w:r>
      <w:r w:rsidR="002227B6" w:rsidRPr="00BB0FDF">
        <w:rPr>
          <w:rFonts w:ascii="Arial" w:hAnsi="Arial" w:cs="Arial"/>
          <w:sz w:val="20"/>
          <w:szCs w:val="20"/>
          <w:lang w:val="es-ES"/>
        </w:rPr>
        <w:t>ret</w:t>
      </w:r>
      <w:r w:rsidRPr="00BB0FDF">
        <w:rPr>
          <w:rFonts w:ascii="Arial" w:hAnsi="Arial" w:cs="Arial"/>
          <w:sz w:val="20"/>
          <w:szCs w:val="20"/>
          <w:lang w:val="es-ES"/>
        </w:rPr>
        <w:t>ario general de Innovación, Industria y Energía de la Junta de Andalucía, Vicente Ferná</w:t>
      </w:r>
      <w:r w:rsidR="002227B6" w:rsidRPr="00BB0FDF">
        <w:rPr>
          <w:rFonts w:ascii="Arial" w:hAnsi="Arial" w:cs="Arial"/>
          <w:sz w:val="20"/>
          <w:szCs w:val="20"/>
          <w:lang w:val="es-ES"/>
        </w:rPr>
        <w:t>n</w:t>
      </w:r>
      <w:r w:rsidRPr="00BB0FDF">
        <w:rPr>
          <w:rFonts w:ascii="Arial" w:hAnsi="Arial" w:cs="Arial"/>
          <w:sz w:val="20"/>
          <w:szCs w:val="20"/>
          <w:lang w:val="es-ES"/>
        </w:rPr>
        <w:t>dez, ha cuantificando en “4.000 millones de euros la facturación del secto</w:t>
      </w:r>
      <w:r w:rsidR="00732DC5">
        <w:rPr>
          <w:rFonts w:ascii="Arial" w:hAnsi="Arial" w:cs="Arial"/>
          <w:sz w:val="20"/>
          <w:szCs w:val="20"/>
          <w:lang w:val="es-ES"/>
        </w:rPr>
        <w:t>r TICC en Andalucía, que genera</w:t>
      </w:r>
      <w:r w:rsidR="002E27C1">
        <w:rPr>
          <w:rFonts w:ascii="Arial" w:hAnsi="Arial" w:cs="Arial"/>
          <w:sz w:val="20"/>
          <w:szCs w:val="20"/>
          <w:lang w:val="es-ES"/>
        </w:rPr>
        <w:t xml:space="preserve"> 30.000 puestos de trabajo”.</w:t>
      </w:r>
      <w:r w:rsidRPr="00BB0FDF">
        <w:rPr>
          <w:rFonts w:ascii="Arial" w:hAnsi="Arial" w:cs="Arial"/>
          <w:sz w:val="20"/>
          <w:szCs w:val="20"/>
          <w:lang w:val="es-ES"/>
        </w:rPr>
        <w:t xml:space="preserve"> En este sentido, ha afirmado que Andalucía va a apostar por el sector TICC como uno de los principales motores productivos de la comunidad. </w:t>
      </w:r>
      <w:r w:rsidR="002E27C1">
        <w:rPr>
          <w:rFonts w:ascii="Arial" w:hAnsi="Arial" w:cs="Arial"/>
          <w:sz w:val="20"/>
          <w:szCs w:val="20"/>
          <w:lang w:val="es-ES"/>
        </w:rPr>
        <w:t>Según Vicente Fernández, “e</w:t>
      </w:r>
      <w:r w:rsidRPr="00BB0FDF">
        <w:rPr>
          <w:rFonts w:ascii="Arial" w:hAnsi="Arial" w:cs="Arial"/>
          <w:sz w:val="20"/>
          <w:szCs w:val="20"/>
          <w:lang w:val="es-ES"/>
        </w:rPr>
        <w:t>l plan económico para Andalucía 2014-2020 señala que la economía digital es uno de los campos de actuación de la Estrategia de Especialización Inteligente (RIS3)”.</w:t>
      </w:r>
      <w:r w:rsidR="002227B6" w:rsidRPr="00BB0FDF">
        <w:rPr>
          <w:rFonts w:ascii="Arial" w:hAnsi="Arial" w:cs="Arial"/>
          <w:sz w:val="20"/>
          <w:szCs w:val="20"/>
          <w:lang w:val="es-ES"/>
        </w:rPr>
        <w:t xml:space="preserve"> Además ha señalado la importancia del carácte</w:t>
      </w:r>
      <w:r w:rsidR="00BB0FDF">
        <w:rPr>
          <w:rFonts w:ascii="Arial" w:hAnsi="Arial" w:cs="Arial"/>
          <w:sz w:val="20"/>
          <w:szCs w:val="20"/>
          <w:lang w:val="es-ES"/>
        </w:rPr>
        <w:t>r social de las nuevas tecnología</w:t>
      </w:r>
      <w:r w:rsidR="002227B6" w:rsidRPr="00BB0FDF">
        <w:rPr>
          <w:rFonts w:ascii="Arial" w:hAnsi="Arial" w:cs="Arial"/>
          <w:sz w:val="20"/>
          <w:szCs w:val="20"/>
          <w:lang w:val="es-ES"/>
        </w:rPr>
        <w:t>s, “para que ningún ciudadano se quede atrás en la revolución digital que vivimos actualmente”.</w:t>
      </w:r>
    </w:p>
    <w:p w14:paraId="28803271" w14:textId="77777777" w:rsidR="00033749" w:rsidRDefault="00033749" w:rsidP="00BB0FDF">
      <w:pPr>
        <w:jc w:val="both"/>
        <w:rPr>
          <w:rFonts w:ascii="Arial" w:hAnsi="Arial" w:cs="Arial"/>
          <w:sz w:val="20"/>
          <w:szCs w:val="20"/>
          <w:lang w:val="es-ES"/>
        </w:rPr>
      </w:pPr>
    </w:p>
    <w:p w14:paraId="1DAFA41E" w14:textId="77777777" w:rsidR="00033749" w:rsidRPr="00BB0FDF" w:rsidRDefault="00033749" w:rsidP="00033749">
      <w:pPr>
        <w:jc w:val="both"/>
        <w:rPr>
          <w:rFonts w:ascii="Arial" w:hAnsi="Arial" w:cs="Arial"/>
          <w:b/>
          <w:sz w:val="20"/>
          <w:szCs w:val="20"/>
        </w:rPr>
      </w:pPr>
      <w:r w:rsidRPr="00BB0FDF">
        <w:rPr>
          <w:rFonts w:ascii="Arial" w:hAnsi="Arial" w:cs="Arial"/>
          <w:sz w:val="20"/>
          <w:szCs w:val="20"/>
          <w:lang w:val="es-ES"/>
        </w:rPr>
        <w:t>Por su parte, el presidente de Eticom, Fernando Rodríguez del Estal, destacó que “</w:t>
      </w:r>
      <w:r w:rsidRPr="00BB0FDF">
        <w:rPr>
          <w:rFonts w:ascii="Arial" w:hAnsi="Arial" w:cs="Arial"/>
          <w:sz w:val="20"/>
          <w:szCs w:val="20"/>
        </w:rPr>
        <w:t>La palabra clave es la innovación de cara al cliente”. Las nuevas tendencias van enfocadas a dar solución a la demanda en el comercio. “El sector está evolucio</w:t>
      </w:r>
      <w:r>
        <w:rPr>
          <w:rFonts w:ascii="Arial" w:hAnsi="Arial" w:cs="Arial"/>
          <w:sz w:val="20"/>
          <w:szCs w:val="20"/>
        </w:rPr>
        <w:t xml:space="preserve">nando y vamos a Big Data, cloud </w:t>
      </w:r>
      <w:r w:rsidRPr="00BB0FDF">
        <w:rPr>
          <w:rFonts w:ascii="Arial" w:hAnsi="Arial" w:cs="Arial"/>
          <w:sz w:val="20"/>
          <w:szCs w:val="20"/>
        </w:rPr>
        <w:t>computing, el pago por uso. El mercado va a buscar soluciones por las que se pague por el uso de ellas. Este es el futuro. Eso combinado con transformar el modelo de negocio y hacer que los CEOs puedan manejar ingentes cantidades de datos y puedan llegar al cliente resolviendo su problemática”.</w:t>
      </w:r>
    </w:p>
    <w:p w14:paraId="591BE1BB" w14:textId="77777777" w:rsidR="00033749" w:rsidRPr="00BB0FDF" w:rsidRDefault="00033749" w:rsidP="00BB0FDF">
      <w:pPr>
        <w:jc w:val="both"/>
        <w:rPr>
          <w:rFonts w:ascii="Arial" w:hAnsi="Arial" w:cs="Arial"/>
          <w:sz w:val="20"/>
          <w:szCs w:val="20"/>
          <w:shd w:val="clear" w:color="auto" w:fill="FFFFFF"/>
        </w:rPr>
      </w:pPr>
    </w:p>
    <w:p w14:paraId="1D7616EC" w14:textId="77777777" w:rsidR="00033749" w:rsidRDefault="00033749" w:rsidP="00033749">
      <w:pPr>
        <w:jc w:val="both"/>
        <w:rPr>
          <w:rFonts w:ascii="Arial" w:hAnsi="Arial" w:cs="Arial"/>
          <w:sz w:val="20"/>
          <w:szCs w:val="20"/>
        </w:rPr>
      </w:pPr>
    </w:p>
    <w:p w14:paraId="565A2D7B" w14:textId="77777777" w:rsidR="00033749" w:rsidRDefault="00033749" w:rsidP="00033749">
      <w:pPr>
        <w:jc w:val="both"/>
        <w:rPr>
          <w:rFonts w:ascii="Arial" w:hAnsi="Arial" w:cs="Arial"/>
          <w:sz w:val="20"/>
          <w:szCs w:val="20"/>
        </w:rPr>
      </w:pPr>
    </w:p>
    <w:p w14:paraId="5C8FA80A" w14:textId="77777777" w:rsidR="00033749" w:rsidRDefault="00033749" w:rsidP="00033749">
      <w:pPr>
        <w:jc w:val="both"/>
        <w:rPr>
          <w:rFonts w:ascii="Arial" w:hAnsi="Arial" w:cs="Arial"/>
          <w:sz w:val="20"/>
          <w:szCs w:val="20"/>
        </w:rPr>
      </w:pPr>
    </w:p>
    <w:p w14:paraId="4A118708" w14:textId="77777777" w:rsidR="00033749" w:rsidRPr="00BB0FDF" w:rsidRDefault="00033749" w:rsidP="00033749">
      <w:pPr>
        <w:jc w:val="both"/>
        <w:rPr>
          <w:rFonts w:ascii="Arial" w:hAnsi="Arial" w:cs="Arial"/>
          <w:sz w:val="20"/>
          <w:szCs w:val="20"/>
        </w:rPr>
      </w:pPr>
      <w:r w:rsidRPr="00BB0FDF">
        <w:rPr>
          <w:rFonts w:ascii="Arial" w:hAnsi="Arial" w:cs="Arial"/>
          <w:sz w:val="20"/>
          <w:szCs w:val="20"/>
        </w:rPr>
        <w:t>Andalucía se consolida como tercera comunidad autónoma del país en el sector TICC con unas 1.700 empresas, 418 de ellas en Málaga, 700 vinculadas directamente a los contenidos digitales. Sobre la importancia de estas empresas, Fernando Rodríguez del Estal ha subrayado que las empresas TICC representan “una fórmula horizontal de crecimiento, capaz ser convertirse en un motor económico en Andalucía y de abanderar un nuevo modelo productivo, mediante la generación de empleo de calidad”.</w:t>
      </w:r>
    </w:p>
    <w:p w14:paraId="5F7EAF69" w14:textId="77777777" w:rsidR="00033749" w:rsidRDefault="00033749" w:rsidP="00BB0FDF">
      <w:pPr>
        <w:jc w:val="both"/>
        <w:rPr>
          <w:rFonts w:ascii="Arial" w:hAnsi="Arial" w:cs="Arial"/>
          <w:sz w:val="20"/>
          <w:szCs w:val="20"/>
          <w:lang w:val="es-ES"/>
        </w:rPr>
      </w:pPr>
    </w:p>
    <w:p w14:paraId="757CFD41" w14:textId="7637DCED" w:rsidR="00BB0FDF" w:rsidRPr="00033749" w:rsidRDefault="00D64FC6" w:rsidP="00BB0FDF">
      <w:pPr>
        <w:jc w:val="both"/>
        <w:rPr>
          <w:rFonts w:ascii="Arial" w:hAnsi="Arial" w:cs="Arial"/>
          <w:sz w:val="20"/>
          <w:szCs w:val="20"/>
          <w:shd w:val="clear" w:color="auto" w:fill="FFFFFF"/>
        </w:rPr>
      </w:pPr>
      <w:r w:rsidRPr="00BB0FDF">
        <w:rPr>
          <w:rFonts w:ascii="Arial" w:hAnsi="Arial" w:cs="Arial"/>
          <w:sz w:val="20"/>
          <w:szCs w:val="20"/>
          <w:lang w:val="es-ES"/>
        </w:rPr>
        <w:t>El Spain Country Manager de International Data Corporation (IDC)</w:t>
      </w:r>
      <w:r w:rsidR="00A764F7" w:rsidRPr="00BB0FDF">
        <w:rPr>
          <w:rFonts w:ascii="Arial" w:hAnsi="Arial" w:cs="Arial"/>
          <w:sz w:val="20"/>
          <w:szCs w:val="20"/>
          <w:lang w:val="es-ES"/>
        </w:rPr>
        <w:t>,</w:t>
      </w:r>
      <w:r w:rsidRPr="00BB0FDF">
        <w:rPr>
          <w:rFonts w:ascii="Arial" w:hAnsi="Arial" w:cs="Arial"/>
          <w:sz w:val="20"/>
          <w:szCs w:val="20"/>
          <w:lang w:val="es-ES"/>
        </w:rPr>
        <w:t xml:space="preserve"> </w:t>
      </w:r>
      <w:r w:rsidR="00277750" w:rsidRPr="00BB0FDF">
        <w:rPr>
          <w:rFonts w:ascii="Arial" w:hAnsi="Arial" w:cs="Arial"/>
          <w:sz w:val="20"/>
          <w:szCs w:val="20"/>
          <w:lang w:val="es-ES"/>
        </w:rPr>
        <w:t>José Antonio</w:t>
      </w:r>
      <w:r w:rsidR="00A764F7" w:rsidRPr="00BB0FDF">
        <w:rPr>
          <w:rFonts w:ascii="Arial" w:hAnsi="Arial" w:cs="Arial"/>
          <w:sz w:val="20"/>
          <w:szCs w:val="20"/>
          <w:lang w:val="es-ES"/>
        </w:rPr>
        <w:t xml:space="preserve"> Lorenzo</w:t>
      </w:r>
      <w:r w:rsidR="00277750" w:rsidRPr="00BB0FDF">
        <w:rPr>
          <w:rFonts w:ascii="Arial" w:hAnsi="Arial" w:cs="Arial"/>
          <w:sz w:val="20"/>
          <w:szCs w:val="20"/>
          <w:lang w:val="es-ES"/>
        </w:rPr>
        <w:t>,</w:t>
      </w:r>
      <w:r w:rsidRPr="00BB0FDF">
        <w:rPr>
          <w:rFonts w:ascii="Arial" w:hAnsi="Arial" w:cs="Arial"/>
          <w:sz w:val="20"/>
          <w:szCs w:val="20"/>
          <w:lang w:val="es-ES"/>
        </w:rPr>
        <w:t xml:space="preserve"> ha destacado </w:t>
      </w:r>
      <w:r w:rsidR="00A764F7" w:rsidRPr="00BB0FDF">
        <w:rPr>
          <w:rFonts w:ascii="Arial" w:hAnsi="Arial" w:cs="Arial"/>
          <w:sz w:val="20"/>
          <w:szCs w:val="20"/>
          <w:lang w:val="es-ES"/>
        </w:rPr>
        <w:t xml:space="preserve">en su intervención </w:t>
      </w:r>
      <w:r w:rsidRPr="00BB0FDF">
        <w:rPr>
          <w:rFonts w:ascii="Arial" w:hAnsi="Arial" w:cs="Arial"/>
          <w:sz w:val="20"/>
          <w:szCs w:val="20"/>
          <w:lang w:val="es-ES"/>
        </w:rPr>
        <w:t>que dicho proceso de innovación girará en torno a tecnologías, modelos de negocio, empresas y mercados</w:t>
      </w:r>
      <w:r w:rsidR="00A764F7" w:rsidRPr="00BB0FDF">
        <w:rPr>
          <w:rFonts w:ascii="Arial" w:hAnsi="Arial" w:cs="Arial"/>
          <w:sz w:val="20"/>
          <w:szCs w:val="20"/>
          <w:lang w:val="es-ES"/>
        </w:rPr>
        <w:t>. “</w:t>
      </w:r>
      <w:r w:rsidR="00277750" w:rsidRPr="00BB0FDF">
        <w:rPr>
          <w:rFonts w:ascii="Arial" w:hAnsi="Arial" w:cs="Arial"/>
          <w:sz w:val="20"/>
          <w:szCs w:val="20"/>
          <w:lang w:val="es-ES"/>
        </w:rPr>
        <w:t>La tr</w:t>
      </w:r>
      <w:r w:rsidR="00A764F7" w:rsidRPr="00BB0FDF">
        <w:rPr>
          <w:rFonts w:ascii="Arial" w:hAnsi="Arial" w:cs="Arial"/>
          <w:sz w:val="20"/>
          <w:szCs w:val="20"/>
          <w:lang w:val="es-ES"/>
        </w:rPr>
        <w:t>ansformación digital está aquí. La denominamos</w:t>
      </w:r>
      <w:r w:rsidR="00277750" w:rsidRPr="00BB0FDF">
        <w:rPr>
          <w:rFonts w:ascii="Arial" w:hAnsi="Arial" w:cs="Arial"/>
          <w:sz w:val="20"/>
          <w:szCs w:val="20"/>
          <w:lang w:val="es-ES"/>
        </w:rPr>
        <w:t xml:space="preserve"> Tercera Plataforma</w:t>
      </w:r>
      <w:r w:rsidR="00A764F7" w:rsidRPr="00BB0FDF">
        <w:rPr>
          <w:rFonts w:ascii="Arial" w:hAnsi="Arial" w:cs="Arial"/>
          <w:sz w:val="20"/>
          <w:szCs w:val="20"/>
          <w:lang w:val="es-ES"/>
        </w:rPr>
        <w:t xml:space="preserve"> e</w:t>
      </w:r>
      <w:r w:rsidR="00277750" w:rsidRPr="00BB0FDF">
        <w:rPr>
          <w:rFonts w:ascii="Arial" w:hAnsi="Arial" w:cs="Arial"/>
          <w:sz w:val="20"/>
          <w:szCs w:val="20"/>
          <w:lang w:val="es-ES"/>
        </w:rPr>
        <w:t xml:space="preserve"> integra el mundo del Clo</w:t>
      </w:r>
      <w:r w:rsidR="00A764F7" w:rsidRPr="00BB0FDF">
        <w:rPr>
          <w:rFonts w:ascii="Arial" w:hAnsi="Arial" w:cs="Arial"/>
          <w:sz w:val="20"/>
          <w:szCs w:val="20"/>
          <w:lang w:val="es-ES"/>
        </w:rPr>
        <w:t>ud, Internet de las Cosas o Big Data entre otros aceleradores de la innovación”, ha explicado José Antonio Lorenzo, quien ha afirmado asimismo que “e</w:t>
      </w:r>
      <w:r w:rsidR="00277750" w:rsidRPr="00BB0FDF">
        <w:rPr>
          <w:rFonts w:ascii="Arial" w:hAnsi="Arial" w:cs="Arial"/>
          <w:sz w:val="20"/>
          <w:szCs w:val="20"/>
          <w:lang w:val="es-ES"/>
        </w:rPr>
        <w:t>n 2014, casi el 100% del crecimiento del sector TIC se ha reali</w:t>
      </w:r>
      <w:r w:rsidR="00A764F7" w:rsidRPr="00BB0FDF">
        <w:rPr>
          <w:rFonts w:ascii="Arial" w:hAnsi="Arial" w:cs="Arial"/>
          <w:sz w:val="20"/>
          <w:szCs w:val="20"/>
          <w:lang w:val="es-ES"/>
        </w:rPr>
        <w:t>zado a través de estos pilares”.</w:t>
      </w:r>
    </w:p>
    <w:p w14:paraId="570C901C" w14:textId="77777777" w:rsidR="00BB0FDF" w:rsidRDefault="00BB0FDF" w:rsidP="00BB0FDF">
      <w:pPr>
        <w:jc w:val="both"/>
        <w:rPr>
          <w:rFonts w:ascii="Arial" w:hAnsi="Arial" w:cs="Arial"/>
          <w:sz w:val="20"/>
          <w:szCs w:val="20"/>
          <w:lang w:val="es-ES"/>
        </w:rPr>
      </w:pPr>
    </w:p>
    <w:p w14:paraId="2BD2D054" w14:textId="1D37C236" w:rsidR="00A764F7" w:rsidRPr="00BB0FDF" w:rsidRDefault="00A764F7" w:rsidP="00BB0FDF">
      <w:pPr>
        <w:jc w:val="both"/>
        <w:rPr>
          <w:rFonts w:ascii="Arial" w:hAnsi="Arial" w:cs="Arial"/>
          <w:sz w:val="20"/>
          <w:szCs w:val="20"/>
          <w:shd w:val="clear" w:color="auto" w:fill="FFFFFF"/>
        </w:rPr>
      </w:pPr>
      <w:r w:rsidRPr="00BB0FDF">
        <w:rPr>
          <w:rFonts w:ascii="Arial" w:hAnsi="Arial" w:cs="Arial"/>
          <w:sz w:val="20"/>
          <w:szCs w:val="20"/>
          <w:lang w:val="es-ES"/>
        </w:rPr>
        <w:t>Respecto</w:t>
      </w:r>
      <w:r w:rsidR="00F16236" w:rsidRPr="00BB0FDF">
        <w:rPr>
          <w:rFonts w:ascii="Arial" w:hAnsi="Arial" w:cs="Arial"/>
          <w:sz w:val="20"/>
          <w:szCs w:val="20"/>
          <w:lang w:val="es-ES"/>
        </w:rPr>
        <w:t xml:space="preserve"> a la inversión TICC, “</w:t>
      </w:r>
      <w:r w:rsidR="00277750" w:rsidRPr="00BB0FDF">
        <w:rPr>
          <w:rFonts w:ascii="Arial" w:hAnsi="Arial" w:cs="Arial"/>
          <w:sz w:val="20"/>
          <w:szCs w:val="20"/>
          <w:lang w:val="es-ES"/>
        </w:rPr>
        <w:t xml:space="preserve">España mantiene </w:t>
      </w:r>
      <w:r w:rsidR="00F16236" w:rsidRPr="00BB0FDF">
        <w:rPr>
          <w:rFonts w:ascii="Arial" w:hAnsi="Arial" w:cs="Arial"/>
          <w:sz w:val="20"/>
          <w:szCs w:val="20"/>
          <w:lang w:val="es-ES"/>
        </w:rPr>
        <w:t xml:space="preserve">un crecimiento de inversión </w:t>
      </w:r>
      <w:r w:rsidR="00277750" w:rsidRPr="00BB0FDF">
        <w:rPr>
          <w:rFonts w:ascii="Arial" w:hAnsi="Arial" w:cs="Arial"/>
          <w:sz w:val="20"/>
          <w:szCs w:val="20"/>
          <w:lang w:val="es-ES"/>
        </w:rPr>
        <w:t>hasta 2018, siendo el sector servicios el que más gasto aglutina, seguido por telecomunicaciones, periféricos,</w:t>
      </w:r>
      <w:r w:rsidR="00F16236" w:rsidRPr="00BB0FDF">
        <w:rPr>
          <w:rFonts w:ascii="Arial" w:hAnsi="Arial" w:cs="Arial"/>
          <w:sz w:val="20"/>
          <w:szCs w:val="20"/>
          <w:lang w:val="es-ES"/>
        </w:rPr>
        <w:t xml:space="preserve"> equipamientos, </w:t>
      </w:r>
      <w:r w:rsidR="00277750" w:rsidRPr="00BB0FDF">
        <w:rPr>
          <w:rFonts w:ascii="Arial" w:hAnsi="Arial" w:cs="Arial"/>
          <w:sz w:val="20"/>
          <w:szCs w:val="20"/>
          <w:lang w:val="es-ES"/>
        </w:rPr>
        <w:t xml:space="preserve">etc. El marco con </w:t>
      </w:r>
      <w:r w:rsidR="001E43DB">
        <w:rPr>
          <w:rFonts w:ascii="Arial" w:hAnsi="Arial" w:cs="Arial"/>
          <w:sz w:val="20"/>
          <w:szCs w:val="20"/>
          <w:lang w:val="es-ES"/>
        </w:rPr>
        <w:t>mayor crecimiento es el de los s</w:t>
      </w:r>
      <w:bookmarkStart w:id="0" w:name="_GoBack"/>
      <w:bookmarkEnd w:id="0"/>
      <w:r w:rsidR="00F16236" w:rsidRPr="00BB0FDF">
        <w:rPr>
          <w:rFonts w:ascii="Arial" w:hAnsi="Arial" w:cs="Arial"/>
          <w:sz w:val="20"/>
          <w:szCs w:val="20"/>
          <w:lang w:val="es-ES"/>
        </w:rPr>
        <w:t>martphone”, ha señalado el Spain Country Manager de IDC.</w:t>
      </w:r>
      <w:r w:rsidR="00277750" w:rsidRPr="00BB0FDF">
        <w:rPr>
          <w:rFonts w:ascii="Arial" w:hAnsi="Arial" w:cs="Arial"/>
          <w:sz w:val="20"/>
          <w:szCs w:val="20"/>
          <w:lang w:val="es-ES"/>
        </w:rPr>
        <w:t xml:space="preserve"> </w:t>
      </w:r>
    </w:p>
    <w:p w14:paraId="499E8147" w14:textId="77777777" w:rsidR="00BB0FDF" w:rsidRPr="00BB0FDF" w:rsidRDefault="00BB0FDF" w:rsidP="00BB0FDF">
      <w:pPr>
        <w:jc w:val="both"/>
        <w:rPr>
          <w:rFonts w:ascii="Arial" w:hAnsi="Arial" w:cs="Arial"/>
          <w:b/>
          <w:sz w:val="20"/>
          <w:szCs w:val="20"/>
        </w:rPr>
      </w:pPr>
    </w:p>
    <w:p w14:paraId="638D54DB" w14:textId="386CE1B5" w:rsidR="002E27C1" w:rsidRPr="002E27C1" w:rsidRDefault="002E27C1" w:rsidP="00BB0FDF">
      <w:pPr>
        <w:jc w:val="both"/>
        <w:rPr>
          <w:rFonts w:ascii="Arial" w:hAnsi="Arial" w:cs="Arial"/>
          <w:b/>
          <w:sz w:val="20"/>
          <w:szCs w:val="20"/>
        </w:rPr>
      </w:pPr>
      <w:r w:rsidRPr="002E27C1">
        <w:rPr>
          <w:rFonts w:ascii="Arial" w:hAnsi="Arial" w:cs="Arial"/>
          <w:b/>
          <w:sz w:val="20"/>
          <w:szCs w:val="20"/>
        </w:rPr>
        <w:t>Avance 11 de junio</w:t>
      </w:r>
    </w:p>
    <w:p w14:paraId="014ADBFB" w14:textId="77777777" w:rsidR="001C323A" w:rsidRDefault="001C323A" w:rsidP="00BB0FDF">
      <w:pPr>
        <w:jc w:val="both"/>
        <w:rPr>
          <w:rFonts w:ascii="Arial" w:hAnsi="Arial" w:cs="Arial"/>
          <w:sz w:val="20"/>
          <w:szCs w:val="20"/>
        </w:rPr>
      </w:pPr>
    </w:p>
    <w:p w14:paraId="441BBB77" w14:textId="5456DDB1" w:rsidR="002E27C1" w:rsidRDefault="002E27C1" w:rsidP="00BB0FDF">
      <w:pPr>
        <w:jc w:val="both"/>
        <w:rPr>
          <w:rFonts w:ascii="Arial" w:hAnsi="Arial" w:cs="Arial"/>
          <w:sz w:val="20"/>
          <w:szCs w:val="20"/>
        </w:rPr>
      </w:pPr>
      <w:r>
        <w:rPr>
          <w:rFonts w:ascii="Arial" w:hAnsi="Arial" w:cs="Arial"/>
          <w:sz w:val="20"/>
          <w:szCs w:val="20"/>
        </w:rPr>
        <w:t xml:space="preserve">La jornada de mañana 11 de junio tendrá, entre contenidos destacados, ponencias como “La potencia del Big Data de los operadores de telecomunicaciones”, a cargo de Vodafone España; </w:t>
      </w:r>
    </w:p>
    <w:p w14:paraId="2383AA1E" w14:textId="7ADBA2DF" w:rsidR="002E27C1" w:rsidRDefault="002E27C1" w:rsidP="00BB0FDF">
      <w:pPr>
        <w:jc w:val="both"/>
        <w:rPr>
          <w:rFonts w:ascii="Arial" w:hAnsi="Arial" w:cs="Arial"/>
          <w:sz w:val="20"/>
          <w:szCs w:val="20"/>
        </w:rPr>
      </w:pPr>
      <w:r>
        <w:rPr>
          <w:rFonts w:ascii="Arial" w:hAnsi="Arial" w:cs="Arial"/>
          <w:sz w:val="20"/>
          <w:szCs w:val="20"/>
        </w:rPr>
        <w:t>“Nuevos hábitos de consumo en televisión”, impartida por Telefónica España; “Políticas de inversión en Colombia y Panamá”, a cargo de diferentes instituciones colombianas; la presentación</w:t>
      </w:r>
      <w:r w:rsidR="00C40614">
        <w:rPr>
          <w:rFonts w:ascii="Arial" w:hAnsi="Arial" w:cs="Arial"/>
          <w:sz w:val="20"/>
          <w:szCs w:val="20"/>
        </w:rPr>
        <w:t xml:space="preserve"> de Andalucía SMART – estrategia de la Junta de Andalucía para el impulso y desarrollo inteligente de las ciudades, entre otros.</w:t>
      </w:r>
    </w:p>
    <w:p w14:paraId="76F38E7B" w14:textId="77777777" w:rsidR="002E27C1" w:rsidRPr="00BB0FDF" w:rsidRDefault="002E27C1" w:rsidP="00BB0FDF">
      <w:pPr>
        <w:jc w:val="both"/>
        <w:rPr>
          <w:rFonts w:ascii="Arial" w:hAnsi="Arial" w:cs="Arial"/>
          <w:sz w:val="20"/>
          <w:szCs w:val="20"/>
        </w:rPr>
      </w:pPr>
    </w:p>
    <w:p w14:paraId="2FE5D339" w14:textId="77777777" w:rsidR="001C323A" w:rsidRPr="00BB0FDF" w:rsidRDefault="001C323A" w:rsidP="00BB0FDF">
      <w:pPr>
        <w:jc w:val="both"/>
        <w:rPr>
          <w:rFonts w:ascii="Arial" w:hAnsi="Arial" w:cs="Arial"/>
          <w:b/>
          <w:sz w:val="20"/>
          <w:szCs w:val="20"/>
        </w:rPr>
      </w:pPr>
      <w:r w:rsidRPr="00BB0FDF">
        <w:rPr>
          <w:rFonts w:ascii="Arial" w:hAnsi="Arial" w:cs="Arial"/>
          <w:b/>
          <w:sz w:val="20"/>
          <w:szCs w:val="20"/>
        </w:rPr>
        <w:t>Colaboradores de Business TICC</w:t>
      </w:r>
    </w:p>
    <w:p w14:paraId="1EE4FD8A" w14:textId="77777777" w:rsidR="001C323A" w:rsidRPr="00BB0FDF" w:rsidRDefault="001C323A" w:rsidP="00BB0FDF">
      <w:pPr>
        <w:jc w:val="both"/>
        <w:rPr>
          <w:rFonts w:ascii="Arial" w:hAnsi="Arial" w:cs="Arial"/>
          <w:sz w:val="20"/>
          <w:szCs w:val="20"/>
        </w:rPr>
      </w:pPr>
    </w:p>
    <w:p w14:paraId="51DF4F37" w14:textId="77777777" w:rsidR="001C323A" w:rsidRPr="00BB0FDF" w:rsidRDefault="001C323A" w:rsidP="00BB0FDF">
      <w:pPr>
        <w:jc w:val="both"/>
        <w:rPr>
          <w:rFonts w:ascii="Arial" w:hAnsi="Arial" w:cs="Arial"/>
          <w:sz w:val="20"/>
          <w:szCs w:val="20"/>
        </w:rPr>
      </w:pPr>
      <w:r w:rsidRPr="00BB0FDF">
        <w:rPr>
          <w:rFonts w:ascii="Arial" w:hAnsi="Arial" w:cs="Arial"/>
          <w:sz w:val="20"/>
          <w:szCs w:val="20"/>
        </w:rPr>
        <w:t xml:space="preserve">Como Foro de Negocios y Networking de origen andaluz, Business TICC es el gran evento exclusivo integral de la comunidad empresarial hispanohablante de las tecnologías de la información, comunicaciones y contenidos digitales, organizado por ETICOM, y promovido por la Consejería de Economía, Innovación, Ciencia y Empleo del Gobierno autonómico. Reúne a Telefónica y Vodafone como sponsors plus y a Perú como país invitado. </w:t>
      </w:r>
    </w:p>
    <w:p w14:paraId="3B3B6555" w14:textId="77777777" w:rsidR="0059131B" w:rsidRPr="00BB0FDF" w:rsidRDefault="0059131B" w:rsidP="00BB0FDF">
      <w:pPr>
        <w:jc w:val="both"/>
        <w:rPr>
          <w:rFonts w:ascii="Arial" w:hAnsi="Arial" w:cs="Arial"/>
          <w:sz w:val="20"/>
          <w:szCs w:val="20"/>
        </w:rPr>
      </w:pPr>
    </w:p>
    <w:p w14:paraId="70AB440B" w14:textId="77777777" w:rsidR="001C323A" w:rsidRPr="00BB0FDF" w:rsidRDefault="001C323A" w:rsidP="00BB0FDF">
      <w:pPr>
        <w:jc w:val="both"/>
        <w:rPr>
          <w:rFonts w:ascii="Arial" w:hAnsi="Arial" w:cs="Arial"/>
          <w:sz w:val="20"/>
          <w:szCs w:val="20"/>
        </w:rPr>
      </w:pPr>
      <w:r w:rsidRPr="00BB0FDF">
        <w:rPr>
          <w:rFonts w:ascii="Arial" w:hAnsi="Arial" w:cs="Arial"/>
          <w:sz w:val="20"/>
          <w:szCs w:val="20"/>
        </w:rPr>
        <w:t xml:space="preserve">Sus patrocinadores son CISCO, SDOS, Fujitsu, Magtel, Soltel Group, MGS, CITIC, AT4 Wireless, Axial y Cibernos. Cuenta con los colaboradores Keiretsu Forum, Foro Capital Pymes, Gucoext Consultores, Gralek Consultores, Near Technologies, Genera e Ingenia. </w:t>
      </w:r>
    </w:p>
    <w:p w14:paraId="755E55DA" w14:textId="77777777" w:rsidR="001C323A" w:rsidRPr="00BB0FDF" w:rsidRDefault="001C323A" w:rsidP="00BB0FDF">
      <w:pPr>
        <w:jc w:val="both"/>
        <w:rPr>
          <w:rFonts w:ascii="Arial" w:hAnsi="Arial" w:cs="Arial"/>
          <w:sz w:val="20"/>
          <w:szCs w:val="20"/>
        </w:rPr>
      </w:pPr>
    </w:p>
    <w:p w14:paraId="3F106FC7" w14:textId="77777777" w:rsidR="001C323A" w:rsidRPr="00BB0FDF" w:rsidRDefault="001C323A" w:rsidP="00BB0FDF">
      <w:pPr>
        <w:jc w:val="both"/>
        <w:rPr>
          <w:rFonts w:ascii="Arial" w:hAnsi="Arial" w:cs="Arial"/>
          <w:sz w:val="20"/>
          <w:szCs w:val="20"/>
        </w:rPr>
      </w:pPr>
      <w:r w:rsidRPr="00BB0FDF">
        <w:rPr>
          <w:rFonts w:ascii="Arial" w:hAnsi="Arial" w:cs="Arial"/>
          <w:sz w:val="20"/>
          <w:szCs w:val="20"/>
        </w:rPr>
        <w:t>Los colaboradores institucionales de Business TICC 2015 son las Universidades de Málaga, Sevilla y Granada, la Fundación Glocal, la CEA, Extenda, CPITIA, FAICO, los Colegios Oficiales de Ingenieros de Telecomunicaciones de Andalucía Occidental y Ceuta y de Andalucía Oriental y Melilla, RETA, FIDESOL, el Parque Científico y Tecnológico Cartuja, el Centro Demostrador TIC y OnGranada.</w:t>
      </w:r>
    </w:p>
    <w:p w14:paraId="749CE833" w14:textId="77777777" w:rsidR="001C323A" w:rsidRPr="00BB0FDF" w:rsidRDefault="001C323A" w:rsidP="00BB0FDF">
      <w:pPr>
        <w:ind w:left="360"/>
        <w:jc w:val="both"/>
        <w:rPr>
          <w:rFonts w:ascii="Arial" w:hAnsi="Arial" w:cs="Arial"/>
          <w:sz w:val="20"/>
          <w:szCs w:val="20"/>
        </w:rPr>
      </w:pPr>
    </w:p>
    <w:p w14:paraId="4284F499" w14:textId="77777777" w:rsidR="001C323A" w:rsidRPr="00BB0FDF" w:rsidRDefault="001C323A" w:rsidP="00BB0FDF">
      <w:pPr>
        <w:jc w:val="both"/>
        <w:rPr>
          <w:rFonts w:ascii="Arial" w:hAnsi="Arial" w:cs="Arial"/>
          <w:b/>
          <w:sz w:val="20"/>
          <w:szCs w:val="20"/>
        </w:rPr>
      </w:pPr>
    </w:p>
    <w:p w14:paraId="01A86608" w14:textId="77777777" w:rsidR="001C323A" w:rsidRPr="00BB0FDF" w:rsidRDefault="001C323A" w:rsidP="00BB0FDF">
      <w:pPr>
        <w:jc w:val="both"/>
        <w:rPr>
          <w:rFonts w:ascii="Arial" w:hAnsi="Arial" w:cs="Arial"/>
          <w:b/>
          <w:sz w:val="20"/>
          <w:szCs w:val="20"/>
        </w:rPr>
      </w:pPr>
    </w:p>
    <w:p w14:paraId="345EE938" w14:textId="77777777" w:rsidR="001C323A" w:rsidRPr="00BB0FDF" w:rsidRDefault="001C323A" w:rsidP="00AB45BD">
      <w:pPr>
        <w:rPr>
          <w:rFonts w:ascii="Arial" w:hAnsi="Arial" w:cs="Arial"/>
          <w:sz w:val="20"/>
          <w:szCs w:val="20"/>
        </w:rPr>
      </w:pPr>
      <w:r w:rsidRPr="00BB0FDF">
        <w:rPr>
          <w:rFonts w:ascii="Arial" w:hAnsi="Arial" w:cs="Arial"/>
          <w:b/>
          <w:sz w:val="20"/>
          <w:szCs w:val="20"/>
        </w:rPr>
        <w:t xml:space="preserve">BUSINESS TICC 2015 - Gabinete de comunicación </w:t>
      </w:r>
      <w:r w:rsidRPr="00BB0FDF">
        <w:rPr>
          <w:rFonts w:ascii="Arial" w:hAnsi="Arial" w:cs="Arial"/>
          <w:b/>
          <w:sz w:val="20"/>
          <w:szCs w:val="20"/>
        </w:rPr>
        <w:br/>
      </w:r>
      <w:r w:rsidRPr="00BB0FDF">
        <w:rPr>
          <w:rFonts w:ascii="Arial" w:hAnsi="Arial" w:cs="Arial"/>
          <w:sz w:val="20"/>
          <w:szCs w:val="20"/>
        </w:rPr>
        <w:t>Pilar Mena – José Manuel Caro – Aurora Suárez –Enrique Ballesteros</w:t>
      </w:r>
      <w:r w:rsidRPr="00BB0FDF">
        <w:rPr>
          <w:rFonts w:ascii="Arial" w:hAnsi="Arial" w:cs="Arial"/>
          <w:sz w:val="20"/>
          <w:szCs w:val="20"/>
        </w:rPr>
        <w:br/>
        <w:t>954 62 27 27 / 630 13 39 77 / 677 73 20 25 / 629 45 19 04 / 616 07 24 74</w:t>
      </w:r>
      <w:r w:rsidRPr="00BB0FDF">
        <w:rPr>
          <w:rFonts w:ascii="Arial" w:hAnsi="Arial" w:cs="Arial"/>
          <w:sz w:val="20"/>
          <w:szCs w:val="20"/>
        </w:rPr>
        <w:br/>
      </w:r>
      <w:hyperlink r:id="rId7" w:history="1">
        <w:r w:rsidRPr="00BB0FDF">
          <w:rPr>
            <w:rStyle w:val="Hipervnculo"/>
            <w:rFonts w:ascii="Arial" w:hAnsi="Arial" w:cs="Arial"/>
            <w:color w:val="auto"/>
            <w:sz w:val="20"/>
            <w:szCs w:val="20"/>
          </w:rPr>
          <w:t>asuarez@euromediagrupo.es</w:t>
        </w:r>
      </w:hyperlink>
      <w:r w:rsidRPr="00BB0FDF">
        <w:rPr>
          <w:rFonts w:ascii="Arial" w:hAnsi="Arial" w:cs="Arial"/>
          <w:sz w:val="20"/>
          <w:szCs w:val="20"/>
        </w:rPr>
        <w:t>  www.businessticc.com</w:t>
      </w:r>
      <w:r w:rsidRPr="00BB0FDF">
        <w:rPr>
          <w:rFonts w:ascii="Arial" w:hAnsi="Arial" w:cs="Arial"/>
          <w:sz w:val="20"/>
          <w:szCs w:val="20"/>
        </w:rPr>
        <w:br/>
      </w:r>
    </w:p>
    <w:p w14:paraId="3825D88C" w14:textId="77777777" w:rsidR="001C323A" w:rsidRPr="00BB0FDF" w:rsidRDefault="001C323A" w:rsidP="00BB0FDF">
      <w:pPr>
        <w:jc w:val="both"/>
        <w:rPr>
          <w:rFonts w:ascii="Arial" w:hAnsi="Arial" w:cs="Arial"/>
          <w:sz w:val="20"/>
          <w:szCs w:val="20"/>
        </w:rPr>
      </w:pPr>
    </w:p>
    <w:p w14:paraId="1EF1319D" w14:textId="77777777" w:rsidR="001C323A" w:rsidRPr="00BB0FDF" w:rsidRDefault="001C323A" w:rsidP="00BB0FDF">
      <w:pPr>
        <w:jc w:val="both"/>
        <w:rPr>
          <w:rFonts w:ascii="Arial" w:hAnsi="Arial" w:cs="Arial"/>
          <w:sz w:val="20"/>
          <w:szCs w:val="20"/>
        </w:rPr>
      </w:pPr>
    </w:p>
    <w:p w14:paraId="26091F6A" w14:textId="77777777" w:rsidR="00B87C50" w:rsidRPr="00BB0FDF" w:rsidRDefault="00B87C50" w:rsidP="00BB0FDF">
      <w:pPr>
        <w:jc w:val="both"/>
        <w:rPr>
          <w:rFonts w:ascii="Arial" w:hAnsi="Arial" w:cs="Arial"/>
          <w:sz w:val="20"/>
          <w:szCs w:val="20"/>
        </w:rPr>
      </w:pPr>
    </w:p>
    <w:p w14:paraId="4706F502" w14:textId="77777777" w:rsidR="001E2BA7" w:rsidRPr="00BB0FDF" w:rsidRDefault="001E2BA7" w:rsidP="00BB0FDF">
      <w:pPr>
        <w:jc w:val="both"/>
        <w:rPr>
          <w:rFonts w:ascii="Arial" w:hAnsi="Arial" w:cs="Arial"/>
          <w:sz w:val="20"/>
          <w:szCs w:val="20"/>
        </w:rPr>
      </w:pPr>
    </w:p>
    <w:sectPr w:rsidR="001E2BA7" w:rsidRPr="00BB0FDF" w:rsidSect="001C323A">
      <w:pgSz w:w="11900" w:h="16840"/>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Eras Bk BT">
    <w:altName w:val="Tahoma"/>
    <w:charset w:val="00"/>
    <w:family w:val="swiss"/>
    <w:pitch w:val="variable"/>
    <w:sig w:usb0="00000087" w:usb1="00000000" w:usb2="00000000" w:usb3="00000000" w:csb0="0000001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517E4"/>
    <w:multiLevelType w:val="hybridMultilevel"/>
    <w:tmpl w:val="9BE2C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2E4E9D"/>
    <w:multiLevelType w:val="hybridMultilevel"/>
    <w:tmpl w:val="44FAA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783243"/>
    <w:multiLevelType w:val="hybridMultilevel"/>
    <w:tmpl w:val="F38A7444"/>
    <w:lvl w:ilvl="0" w:tplc="6B229446">
      <w:numFmt w:val="bullet"/>
      <w:lvlText w:val=""/>
      <w:lvlJc w:val="left"/>
      <w:pPr>
        <w:ind w:left="720" w:hanging="360"/>
      </w:pPr>
      <w:rPr>
        <w:rFonts w:ascii="Wingdings" w:eastAsia="MS Mincho" w:hAnsi="Wingdings" w:cs="Time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EBA35B1"/>
    <w:multiLevelType w:val="hybridMultilevel"/>
    <w:tmpl w:val="46A81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4F0BA4"/>
    <w:multiLevelType w:val="hybridMultilevel"/>
    <w:tmpl w:val="7C0EA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99B3ED9"/>
    <w:multiLevelType w:val="hybridMultilevel"/>
    <w:tmpl w:val="A56CB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CBC1F05"/>
    <w:multiLevelType w:val="hybridMultilevel"/>
    <w:tmpl w:val="D334FC78"/>
    <w:lvl w:ilvl="0" w:tplc="6B229446">
      <w:numFmt w:val="bullet"/>
      <w:lvlText w:val=""/>
      <w:lvlJc w:val="left"/>
      <w:pPr>
        <w:ind w:left="720" w:hanging="360"/>
      </w:pPr>
      <w:rPr>
        <w:rFonts w:ascii="Wingdings" w:eastAsia="MS Mincho" w:hAnsi="Wingdings" w:cs="Time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9D"/>
    <w:rsid w:val="00033749"/>
    <w:rsid w:val="00051765"/>
    <w:rsid w:val="000B0A0E"/>
    <w:rsid w:val="0010030E"/>
    <w:rsid w:val="00174A85"/>
    <w:rsid w:val="001C323A"/>
    <w:rsid w:val="001E2BA7"/>
    <w:rsid w:val="001E43DB"/>
    <w:rsid w:val="001F581F"/>
    <w:rsid w:val="002227B6"/>
    <w:rsid w:val="0026256F"/>
    <w:rsid w:val="00276C82"/>
    <w:rsid w:val="00277750"/>
    <w:rsid w:val="002819AF"/>
    <w:rsid w:val="002A72A3"/>
    <w:rsid w:val="002D035E"/>
    <w:rsid w:val="002E27C1"/>
    <w:rsid w:val="004601A3"/>
    <w:rsid w:val="004E57CD"/>
    <w:rsid w:val="005446E9"/>
    <w:rsid w:val="0059131B"/>
    <w:rsid w:val="00691B7D"/>
    <w:rsid w:val="006B5857"/>
    <w:rsid w:val="00732DC5"/>
    <w:rsid w:val="00847D79"/>
    <w:rsid w:val="0094518C"/>
    <w:rsid w:val="009F5018"/>
    <w:rsid w:val="00A32898"/>
    <w:rsid w:val="00A764F7"/>
    <w:rsid w:val="00AB45BD"/>
    <w:rsid w:val="00B02FC0"/>
    <w:rsid w:val="00B41C65"/>
    <w:rsid w:val="00B61CF4"/>
    <w:rsid w:val="00B73857"/>
    <w:rsid w:val="00B87C50"/>
    <w:rsid w:val="00BA6AB5"/>
    <w:rsid w:val="00BB0FDF"/>
    <w:rsid w:val="00BB182A"/>
    <w:rsid w:val="00BC562B"/>
    <w:rsid w:val="00C052B8"/>
    <w:rsid w:val="00C2502F"/>
    <w:rsid w:val="00C25F17"/>
    <w:rsid w:val="00C40614"/>
    <w:rsid w:val="00C43FB5"/>
    <w:rsid w:val="00D06217"/>
    <w:rsid w:val="00D64FC6"/>
    <w:rsid w:val="00E82A6E"/>
    <w:rsid w:val="00EA4C37"/>
    <w:rsid w:val="00EC0CD3"/>
    <w:rsid w:val="00EC55A8"/>
    <w:rsid w:val="00F16236"/>
    <w:rsid w:val="00F16D68"/>
    <w:rsid w:val="00FA3A9D"/>
    <w:rsid w:val="00FC187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B6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57"/>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3A9D"/>
    <w:rPr>
      <w:color w:val="0000FF"/>
      <w:u w:val="single"/>
    </w:rPr>
  </w:style>
  <w:style w:type="paragraph" w:styleId="Prrafodelista">
    <w:name w:val="List Paragraph"/>
    <w:basedOn w:val="Normal"/>
    <w:uiPriority w:val="34"/>
    <w:qFormat/>
    <w:rsid w:val="00B02FC0"/>
    <w:pPr>
      <w:ind w:left="720"/>
      <w:contextualSpacing/>
    </w:pPr>
  </w:style>
  <w:style w:type="paragraph" w:styleId="NormalWeb">
    <w:name w:val="Normal (Web)"/>
    <w:basedOn w:val="Normal"/>
    <w:uiPriority w:val="99"/>
    <w:semiHidden/>
    <w:unhideWhenUsed/>
    <w:rsid w:val="00C43FB5"/>
    <w:pPr>
      <w:spacing w:before="100" w:beforeAutospacing="1" w:after="100" w:afterAutospacing="1"/>
    </w:pPr>
    <w:rPr>
      <w:rFonts w:ascii="Times" w:hAnsi="Times"/>
      <w:sz w:val="20"/>
      <w:szCs w:val="20"/>
      <w:lang w:val="es-ES"/>
    </w:rPr>
  </w:style>
  <w:style w:type="character" w:styleId="Hipervnculovisitado">
    <w:name w:val="FollowedHyperlink"/>
    <w:basedOn w:val="Fuentedeprrafopredeter"/>
    <w:uiPriority w:val="99"/>
    <w:semiHidden/>
    <w:unhideWhenUsed/>
    <w:rsid w:val="004E57CD"/>
    <w:rPr>
      <w:color w:val="800080"/>
      <w:u w:val="single"/>
    </w:rPr>
  </w:style>
  <w:style w:type="paragraph" w:styleId="Textodeglobo">
    <w:name w:val="Balloon Text"/>
    <w:basedOn w:val="Normal"/>
    <w:link w:val="TextodegloboCar"/>
    <w:uiPriority w:val="99"/>
    <w:semiHidden/>
    <w:unhideWhenUsed/>
    <w:rsid w:val="001C323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C323A"/>
    <w:rPr>
      <w:rFonts w:ascii="Lucida Grande" w:hAnsi="Lucida Grande" w:cs="Lucida Grande"/>
      <w:sz w:val="18"/>
      <w:szCs w:val="18"/>
    </w:rPr>
  </w:style>
  <w:style w:type="paragraph" w:customStyle="1" w:styleId="titular">
    <w:name w:val="titular"/>
    <w:basedOn w:val="Normal"/>
    <w:rsid w:val="001C323A"/>
    <w:pPr>
      <w:widowControl w:val="0"/>
      <w:overflowPunct w:val="0"/>
      <w:autoSpaceDE w:val="0"/>
      <w:autoSpaceDN w:val="0"/>
      <w:adjustRightInd w:val="0"/>
      <w:spacing w:line="264" w:lineRule="auto"/>
      <w:textAlignment w:val="baseline"/>
    </w:pPr>
    <w:rPr>
      <w:rFonts w:ascii="Eras Bk BT" w:eastAsia="Calibri" w:hAnsi="Eras Bk BT" w:cs="Eras Bk BT"/>
      <w:b/>
      <w:bCs/>
      <w:sz w:val="32"/>
      <w:szCs w:val="32"/>
    </w:rPr>
  </w:style>
  <w:style w:type="paragraph" w:customStyle="1" w:styleId="Prrafodelista1">
    <w:name w:val="Párrafo de lista1"/>
    <w:basedOn w:val="Normal"/>
    <w:rsid w:val="001C323A"/>
    <w:pPr>
      <w:spacing w:after="200" w:line="276" w:lineRule="auto"/>
      <w:ind w:left="720"/>
    </w:pPr>
    <w:rPr>
      <w:rFonts w:ascii="Calibri" w:eastAsia="Times New Roman" w:hAnsi="Calibri"/>
      <w:sz w:val="22"/>
      <w:szCs w:val="22"/>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57"/>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3A9D"/>
    <w:rPr>
      <w:color w:val="0000FF"/>
      <w:u w:val="single"/>
    </w:rPr>
  </w:style>
  <w:style w:type="paragraph" w:styleId="Prrafodelista">
    <w:name w:val="List Paragraph"/>
    <w:basedOn w:val="Normal"/>
    <w:uiPriority w:val="34"/>
    <w:qFormat/>
    <w:rsid w:val="00B02FC0"/>
    <w:pPr>
      <w:ind w:left="720"/>
      <w:contextualSpacing/>
    </w:pPr>
  </w:style>
  <w:style w:type="paragraph" w:styleId="NormalWeb">
    <w:name w:val="Normal (Web)"/>
    <w:basedOn w:val="Normal"/>
    <w:uiPriority w:val="99"/>
    <w:semiHidden/>
    <w:unhideWhenUsed/>
    <w:rsid w:val="00C43FB5"/>
    <w:pPr>
      <w:spacing w:before="100" w:beforeAutospacing="1" w:after="100" w:afterAutospacing="1"/>
    </w:pPr>
    <w:rPr>
      <w:rFonts w:ascii="Times" w:hAnsi="Times"/>
      <w:sz w:val="20"/>
      <w:szCs w:val="20"/>
      <w:lang w:val="es-ES"/>
    </w:rPr>
  </w:style>
  <w:style w:type="character" w:styleId="Hipervnculovisitado">
    <w:name w:val="FollowedHyperlink"/>
    <w:basedOn w:val="Fuentedeprrafopredeter"/>
    <w:uiPriority w:val="99"/>
    <w:semiHidden/>
    <w:unhideWhenUsed/>
    <w:rsid w:val="004E57CD"/>
    <w:rPr>
      <w:color w:val="800080"/>
      <w:u w:val="single"/>
    </w:rPr>
  </w:style>
  <w:style w:type="paragraph" w:styleId="Textodeglobo">
    <w:name w:val="Balloon Text"/>
    <w:basedOn w:val="Normal"/>
    <w:link w:val="TextodegloboCar"/>
    <w:uiPriority w:val="99"/>
    <w:semiHidden/>
    <w:unhideWhenUsed/>
    <w:rsid w:val="001C323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C323A"/>
    <w:rPr>
      <w:rFonts w:ascii="Lucida Grande" w:hAnsi="Lucida Grande" w:cs="Lucida Grande"/>
      <w:sz w:val="18"/>
      <w:szCs w:val="18"/>
    </w:rPr>
  </w:style>
  <w:style w:type="paragraph" w:customStyle="1" w:styleId="titular">
    <w:name w:val="titular"/>
    <w:basedOn w:val="Normal"/>
    <w:rsid w:val="001C323A"/>
    <w:pPr>
      <w:widowControl w:val="0"/>
      <w:overflowPunct w:val="0"/>
      <w:autoSpaceDE w:val="0"/>
      <w:autoSpaceDN w:val="0"/>
      <w:adjustRightInd w:val="0"/>
      <w:spacing w:line="264" w:lineRule="auto"/>
      <w:textAlignment w:val="baseline"/>
    </w:pPr>
    <w:rPr>
      <w:rFonts w:ascii="Eras Bk BT" w:eastAsia="Calibri" w:hAnsi="Eras Bk BT" w:cs="Eras Bk BT"/>
      <w:b/>
      <w:bCs/>
      <w:sz w:val="32"/>
      <w:szCs w:val="32"/>
    </w:rPr>
  </w:style>
  <w:style w:type="paragraph" w:customStyle="1" w:styleId="Prrafodelista1">
    <w:name w:val="Párrafo de lista1"/>
    <w:basedOn w:val="Normal"/>
    <w:rsid w:val="001C323A"/>
    <w:pPr>
      <w:spacing w:after="200" w:line="276" w:lineRule="auto"/>
      <w:ind w:left="720"/>
    </w:pPr>
    <w:rPr>
      <w:rFonts w:ascii="Calibri" w:eastAsia="Times New Roman"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0181">
      <w:bodyDiv w:val="1"/>
      <w:marLeft w:val="0"/>
      <w:marRight w:val="0"/>
      <w:marTop w:val="0"/>
      <w:marBottom w:val="0"/>
      <w:divBdr>
        <w:top w:val="none" w:sz="0" w:space="0" w:color="auto"/>
        <w:left w:val="none" w:sz="0" w:space="0" w:color="auto"/>
        <w:bottom w:val="none" w:sz="0" w:space="0" w:color="auto"/>
        <w:right w:val="none" w:sz="0" w:space="0" w:color="auto"/>
      </w:divBdr>
      <w:divsChild>
        <w:div w:id="1992902825">
          <w:marLeft w:val="0"/>
          <w:marRight w:val="0"/>
          <w:marTop w:val="0"/>
          <w:marBottom w:val="0"/>
          <w:divBdr>
            <w:top w:val="none" w:sz="0" w:space="0" w:color="auto"/>
            <w:left w:val="none" w:sz="0" w:space="0" w:color="auto"/>
            <w:bottom w:val="none" w:sz="0" w:space="0" w:color="auto"/>
            <w:right w:val="none" w:sz="0" w:space="0" w:color="auto"/>
          </w:divBdr>
          <w:divsChild>
            <w:div w:id="57486405">
              <w:marLeft w:val="0"/>
              <w:marRight w:val="0"/>
              <w:marTop w:val="0"/>
              <w:marBottom w:val="0"/>
              <w:divBdr>
                <w:top w:val="none" w:sz="0" w:space="0" w:color="auto"/>
                <w:left w:val="none" w:sz="0" w:space="0" w:color="auto"/>
                <w:bottom w:val="none" w:sz="0" w:space="0" w:color="auto"/>
                <w:right w:val="none" w:sz="0" w:space="0" w:color="auto"/>
              </w:divBdr>
              <w:divsChild>
                <w:div w:id="5193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1028">
      <w:bodyDiv w:val="1"/>
      <w:marLeft w:val="0"/>
      <w:marRight w:val="0"/>
      <w:marTop w:val="0"/>
      <w:marBottom w:val="0"/>
      <w:divBdr>
        <w:top w:val="none" w:sz="0" w:space="0" w:color="auto"/>
        <w:left w:val="none" w:sz="0" w:space="0" w:color="auto"/>
        <w:bottom w:val="none" w:sz="0" w:space="0" w:color="auto"/>
        <w:right w:val="none" w:sz="0" w:space="0" w:color="auto"/>
      </w:divBdr>
      <w:divsChild>
        <w:div w:id="1434011494">
          <w:marLeft w:val="0"/>
          <w:marRight w:val="0"/>
          <w:marTop w:val="0"/>
          <w:marBottom w:val="0"/>
          <w:divBdr>
            <w:top w:val="none" w:sz="0" w:space="0" w:color="auto"/>
            <w:left w:val="none" w:sz="0" w:space="0" w:color="auto"/>
            <w:bottom w:val="none" w:sz="0" w:space="0" w:color="auto"/>
            <w:right w:val="none" w:sz="0" w:space="0" w:color="auto"/>
          </w:divBdr>
          <w:divsChild>
            <w:div w:id="2128811432">
              <w:marLeft w:val="0"/>
              <w:marRight w:val="0"/>
              <w:marTop w:val="0"/>
              <w:marBottom w:val="0"/>
              <w:divBdr>
                <w:top w:val="none" w:sz="0" w:space="0" w:color="auto"/>
                <w:left w:val="none" w:sz="0" w:space="0" w:color="auto"/>
                <w:bottom w:val="none" w:sz="0" w:space="0" w:color="auto"/>
                <w:right w:val="none" w:sz="0" w:space="0" w:color="auto"/>
              </w:divBdr>
              <w:divsChild>
                <w:div w:id="14871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1289">
      <w:bodyDiv w:val="1"/>
      <w:marLeft w:val="0"/>
      <w:marRight w:val="0"/>
      <w:marTop w:val="0"/>
      <w:marBottom w:val="0"/>
      <w:divBdr>
        <w:top w:val="none" w:sz="0" w:space="0" w:color="auto"/>
        <w:left w:val="none" w:sz="0" w:space="0" w:color="auto"/>
        <w:bottom w:val="none" w:sz="0" w:space="0" w:color="auto"/>
        <w:right w:val="none" w:sz="0" w:space="0" w:color="auto"/>
      </w:divBdr>
      <w:divsChild>
        <w:div w:id="134876172">
          <w:marLeft w:val="0"/>
          <w:marRight w:val="0"/>
          <w:marTop w:val="0"/>
          <w:marBottom w:val="0"/>
          <w:divBdr>
            <w:top w:val="none" w:sz="0" w:space="0" w:color="auto"/>
            <w:left w:val="none" w:sz="0" w:space="0" w:color="auto"/>
            <w:bottom w:val="none" w:sz="0" w:space="0" w:color="auto"/>
            <w:right w:val="none" w:sz="0" w:space="0" w:color="auto"/>
          </w:divBdr>
          <w:divsChild>
            <w:div w:id="702900435">
              <w:marLeft w:val="0"/>
              <w:marRight w:val="0"/>
              <w:marTop w:val="0"/>
              <w:marBottom w:val="0"/>
              <w:divBdr>
                <w:top w:val="none" w:sz="0" w:space="0" w:color="auto"/>
                <w:left w:val="none" w:sz="0" w:space="0" w:color="auto"/>
                <w:bottom w:val="none" w:sz="0" w:space="0" w:color="auto"/>
                <w:right w:val="none" w:sz="0" w:space="0" w:color="auto"/>
              </w:divBdr>
              <w:divsChild>
                <w:div w:id="1715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07318">
      <w:bodyDiv w:val="1"/>
      <w:marLeft w:val="0"/>
      <w:marRight w:val="0"/>
      <w:marTop w:val="0"/>
      <w:marBottom w:val="0"/>
      <w:divBdr>
        <w:top w:val="none" w:sz="0" w:space="0" w:color="auto"/>
        <w:left w:val="none" w:sz="0" w:space="0" w:color="auto"/>
        <w:bottom w:val="none" w:sz="0" w:space="0" w:color="auto"/>
        <w:right w:val="none" w:sz="0" w:space="0" w:color="auto"/>
      </w:divBdr>
      <w:divsChild>
        <w:div w:id="477234102">
          <w:marLeft w:val="0"/>
          <w:marRight w:val="0"/>
          <w:marTop w:val="0"/>
          <w:marBottom w:val="0"/>
          <w:divBdr>
            <w:top w:val="none" w:sz="0" w:space="0" w:color="auto"/>
            <w:left w:val="none" w:sz="0" w:space="0" w:color="auto"/>
            <w:bottom w:val="none" w:sz="0" w:space="0" w:color="auto"/>
            <w:right w:val="none" w:sz="0" w:space="0" w:color="auto"/>
          </w:divBdr>
          <w:divsChild>
            <w:div w:id="1907642881">
              <w:marLeft w:val="0"/>
              <w:marRight w:val="0"/>
              <w:marTop w:val="0"/>
              <w:marBottom w:val="0"/>
              <w:divBdr>
                <w:top w:val="none" w:sz="0" w:space="0" w:color="auto"/>
                <w:left w:val="none" w:sz="0" w:space="0" w:color="auto"/>
                <w:bottom w:val="none" w:sz="0" w:space="0" w:color="auto"/>
                <w:right w:val="none" w:sz="0" w:space="0" w:color="auto"/>
              </w:divBdr>
              <w:divsChild>
                <w:div w:id="11295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3015">
      <w:bodyDiv w:val="1"/>
      <w:marLeft w:val="0"/>
      <w:marRight w:val="0"/>
      <w:marTop w:val="0"/>
      <w:marBottom w:val="0"/>
      <w:divBdr>
        <w:top w:val="none" w:sz="0" w:space="0" w:color="auto"/>
        <w:left w:val="none" w:sz="0" w:space="0" w:color="auto"/>
        <w:bottom w:val="none" w:sz="0" w:space="0" w:color="auto"/>
        <w:right w:val="none" w:sz="0" w:space="0" w:color="auto"/>
      </w:divBdr>
      <w:divsChild>
        <w:div w:id="502429043">
          <w:marLeft w:val="0"/>
          <w:marRight w:val="0"/>
          <w:marTop w:val="0"/>
          <w:marBottom w:val="0"/>
          <w:divBdr>
            <w:top w:val="none" w:sz="0" w:space="0" w:color="auto"/>
            <w:left w:val="none" w:sz="0" w:space="0" w:color="auto"/>
            <w:bottom w:val="none" w:sz="0" w:space="0" w:color="auto"/>
            <w:right w:val="none" w:sz="0" w:space="0" w:color="auto"/>
          </w:divBdr>
          <w:divsChild>
            <w:div w:id="715543492">
              <w:marLeft w:val="0"/>
              <w:marRight w:val="0"/>
              <w:marTop w:val="0"/>
              <w:marBottom w:val="0"/>
              <w:divBdr>
                <w:top w:val="none" w:sz="0" w:space="0" w:color="auto"/>
                <w:left w:val="none" w:sz="0" w:space="0" w:color="auto"/>
                <w:bottom w:val="none" w:sz="0" w:space="0" w:color="auto"/>
                <w:right w:val="none" w:sz="0" w:space="0" w:color="auto"/>
              </w:divBdr>
              <w:divsChild>
                <w:div w:id="4690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asuarez@euromediagrupo.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999</Words>
  <Characters>5496</Characters>
  <Application>Microsoft Macintosh Word</Application>
  <DocSecurity>0</DocSecurity>
  <Lines>45</Lines>
  <Paragraphs>12</Paragraphs>
  <ScaleCrop>false</ScaleCrop>
  <Company>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Manuel Caro Salazar</dc:creator>
  <cp:lastModifiedBy>José Manuel Caro Salazar</cp:lastModifiedBy>
  <cp:revision>7</cp:revision>
  <dcterms:created xsi:type="dcterms:W3CDTF">2015-06-10T11:10:00Z</dcterms:created>
  <dcterms:modified xsi:type="dcterms:W3CDTF">2015-06-10T12:14:00Z</dcterms:modified>
</cp:coreProperties>
</file>