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F346A" w14:textId="2FC535CB" w:rsidR="007F4C4B" w:rsidRDefault="007A45D8" w:rsidP="00940C36">
      <w:pPr>
        <w:rPr>
          <w:sz w:val="32"/>
          <w:szCs w:val="32"/>
        </w:rPr>
      </w:pPr>
      <w:r>
        <w:rPr>
          <w:noProof/>
          <w:sz w:val="32"/>
          <w:szCs w:val="32"/>
        </w:rPr>
        <w:drawing>
          <wp:anchor distT="0" distB="0" distL="114300" distR="114300" simplePos="0" relativeHeight="251658240" behindDoc="0" locked="0" layoutInCell="1" allowOverlap="1" wp14:anchorId="3BAD7BCC" wp14:editId="5B79E330">
            <wp:simplePos x="0" y="0"/>
            <wp:positionH relativeFrom="margin">
              <wp:posOffset>2662555</wp:posOffset>
            </wp:positionH>
            <wp:positionV relativeFrom="margin">
              <wp:posOffset>161290</wp:posOffset>
            </wp:positionV>
            <wp:extent cx="3081655" cy="582930"/>
            <wp:effectExtent l="0" t="0" r="4445" b="7620"/>
            <wp:wrapSquare wrapText="bothSides"/>
            <wp:docPr id="5191816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81648" name="Imagen 5191816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81655" cy="582930"/>
                    </a:xfrm>
                    <a:prstGeom prst="rect">
                      <a:avLst/>
                    </a:prstGeom>
                  </pic:spPr>
                </pic:pic>
              </a:graphicData>
            </a:graphic>
            <wp14:sizeRelH relativeFrom="margin">
              <wp14:pctWidth>0</wp14:pctWidth>
            </wp14:sizeRelH>
            <wp14:sizeRelV relativeFrom="margin">
              <wp14:pctHeight>0</wp14:pctHeight>
            </wp14:sizeRelV>
          </wp:anchor>
        </w:drawing>
      </w:r>
    </w:p>
    <w:p w14:paraId="56D02BCD" w14:textId="77777777" w:rsidR="007A45D8" w:rsidRDefault="007A45D8" w:rsidP="00940C36">
      <w:pPr>
        <w:rPr>
          <w:sz w:val="32"/>
          <w:szCs w:val="32"/>
        </w:rPr>
      </w:pPr>
    </w:p>
    <w:p w14:paraId="4A2EB8FA" w14:textId="208EE80E" w:rsidR="00BC15A9" w:rsidRPr="00CC0D88" w:rsidRDefault="001F2DFA" w:rsidP="0033413D">
      <w:pPr>
        <w:divId w:val="161824007"/>
        <w:rPr>
          <w:b/>
          <w:bCs/>
        </w:rPr>
      </w:pPr>
      <w:r w:rsidRPr="00CC0D88">
        <w:rPr>
          <w:b/>
          <w:bCs/>
        </w:rPr>
        <w:t xml:space="preserve">Dossier </w:t>
      </w:r>
      <w:r w:rsidR="00ED0191">
        <w:rPr>
          <w:b/>
          <w:bCs/>
        </w:rPr>
        <w:t>C</w:t>
      </w:r>
      <w:r w:rsidRPr="00CC0D88">
        <w:rPr>
          <w:b/>
          <w:bCs/>
        </w:rPr>
        <w:t>orporativo</w:t>
      </w:r>
    </w:p>
    <w:p w14:paraId="7D61FBD6" w14:textId="64739632" w:rsidR="00505168" w:rsidRPr="00920B10" w:rsidRDefault="008F7BB1" w:rsidP="00920B10">
      <w:pPr>
        <w:pStyle w:val="Ttulo10"/>
        <w:jc w:val="center"/>
        <w:rPr>
          <w:b/>
          <w:bCs/>
          <w:sz w:val="48"/>
          <w:szCs w:val="48"/>
        </w:rPr>
      </w:pPr>
      <w:r w:rsidRPr="00920B10">
        <w:rPr>
          <w:b/>
          <w:bCs/>
          <w:sz w:val="48"/>
          <w:szCs w:val="48"/>
        </w:rPr>
        <w:t>BRANDT: innovación en nutrición y salud vegetal desde 1953</w:t>
      </w:r>
    </w:p>
    <w:p w14:paraId="0C206492" w14:textId="365AA9E6" w:rsidR="00BD23E7" w:rsidRPr="002C52CA" w:rsidRDefault="00BD23E7" w:rsidP="002C52CA">
      <w:pPr>
        <w:spacing w:before="200" w:after="100" w:line="320" w:lineRule="atLeast"/>
        <w:jc w:val="center"/>
        <w:rPr>
          <w:b/>
          <w:bCs/>
          <w:color w:val="595959"/>
          <w:kern w:val="2"/>
          <w:sz w:val="26"/>
          <w:szCs w:val="26"/>
          <w:lang w:eastAsia="es-ES"/>
          <w14:ligatures w14:val="standardContextual"/>
        </w:rPr>
      </w:pPr>
      <w:r w:rsidRPr="002C52CA">
        <w:rPr>
          <w:b/>
          <w:bCs/>
          <w:color w:val="595959"/>
          <w:sz w:val="26"/>
          <w:szCs w:val="26"/>
        </w:rPr>
        <w:t xml:space="preserve">Tome el control de </w:t>
      </w:r>
      <w:r w:rsidR="00DB23D6">
        <w:rPr>
          <w:b/>
          <w:bCs/>
          <w:color w:val="595959"/>
          <w:sz w:val="26"/>
          <w:szCs w:val="26"/>
        </w:rPr>
        <w:t>t</w:t>
      </w:r>
      <w:r w:rsidRPr="002C52CA">
        <w:rPr>
          <w:b/>
          <w:bCs/>
          <w:color w:val="595959"/>
          <w:sz w:val="26"/>
          <w:szCs w:val="26"/>
        </w:rPr>
        <w:t>u cultivo con BRANDT®</w:t>
      </w:r>
    </w:p>
    <w:p w14:paraId="321EF5A1" w14:textId="77777777" w:rsidR="00920B10" w:rsidRDefault="00920B10">
      <w:pPr>
        <w:pStyle w:val="Subttulo1"/>
      </w:pPr>
    </w:p>
    <w:p w14:paraId="49267179" w14:textId="77777777" w:rsidR="00BC15A9" w:rsidRDefault="006D704A" w:rsidP="00CC0D88">
      <w:pPr>
        <w:jc w:val="both"/>
        <w:divId w:val="161824007"/>
      </w:pPr>
      <w:hyperlink r:id="rId11" w:history="1">
        <w:r>
          <w:rPr>
            <w:rStyle w:val="Hipervnculo"/>
            <w:b/>
            <w:bCs/>
          </w:rPr>
          <w:t>BRANDT</w:t>
        </w:r>
      </w:hyperlink>
      <w:r w:rsidR="005F3804">
        <w:t xml:space="preserve"> es una compañía familiar estadounidense especializada en nutrición vegetal, bioestimulación y protección de cultivos. Fundada en 1953, desarrolla tecnologías orientadas a mejorar el rendimiento, la calidad y la eficiencia de los cultivos, con presencia comercial en más de 80 países y una estructura internacional que integra investigación, fabricación, distribución y asistencia técnica.</w:t>
      </w:r>
    </w:p>
    <w:p w14:paraId="64443A46" w14:textId="77777777" w:rsidR="00BC15A9" w:rsidRPr="00920B10" w:rsidRDefault="005F3804" w:rsidP="00CC0D88">
      <w:pPr>
        <w:jc w:val="both"/>
        <w:divId w:val="161824007"/>
        <w:rPr>
          <w:rFonts w:ascii="Calibri" w:hAnsi="Calibri" w:cs="Calibri"/>
          <w:b/>
          <w:bCs/>
          <w:color w:val="ED3023"/>
        </w:rPr>
      </w:pPr>
      <w:r w:rsidRPr="00920B10">
        <w:rPr>
          <w:rFonts w:ascii="Calibri" w:hAnsi="Calibri" w:cs="Calibri"/>
          <w:b/>
          <w:bCs/>
          <w:color w:val="ED3023"/>
        </w:rPr>
        <w:t>Actividad y mercados</w:t>
      </w:r>
    </w:p>
    <w:p w14:paraId="1D5EE530" w14:textId="39989442" w:rsidR="00953CB6" w:rsidRDefault="00953CB6" w:rsidP="00CC0D88">
      <w:pPr>
        <w:jc w:val="both"/>
        <w:divId w:val="213350225"/>
      </w:pPr>
      <w:r>
        <w:t xml:space="preserve">La compañía trabaja en </w:t>
      </w:r>
      <w:r w:rsidR="00553957">
        <w:t>los sectores</w:t>
      </w:r>
      <w:r>
        <w:t xml:space="preserve"> de</w:t>
      </w:r>
      <w:r w:rsidR="00553957">
        <w:t xml:space="preserve"> la</w:t>
      </w:r>
      <w:r>
        <w:t xml:space="preserve"> agricultura, horticultura, césped y ornamentales, jardinería y </w:t>
      </w:r>
      <w:r w:rsidR="00DB23D6">
        <w:t xml:space="preserve">tratamientos </w:t>
      </w:r>
      <w:r>
        <w:t>de aguas. Su catálogo incluye nutrientes especiales, micronutrientes, bioestimulantes, reguladores de crecimiento, soluciones para la protección vegetal, nutrientes para agricultura ecológica, adyuvantes, tecnologías de agricultura de precisión, tratamientos de semillas y productos derivados de algas.</w:t>
      </w:r>
    </w:p>
    <w:p w14:paraId="407D88B5" w14:textId="77777777" w:rsidR="00E715AC" w:rsidRPr="00E715AC" w:rsidRDefault="00E715AC" w:rsidP="00CC0D88">
      <w:pPr>
        <w:jc w:val="both"/>
        <w:divId w:val="213350225"/>
        <w:rPr>
          <w:rFonts w:ascii="Calibri" w:hAnsi="Calibri" w:cs="Calibri"/>
          <w:b/>
          <w:bCs/>
          <w:color w:val="ED3023"/>
        </w:rPr>
      </w:pPr>
      <w:r w:rsidRPr="00E715AC">
        <w:rPr>
          <w:rFonts w:ascii="Calibri" w:hAnsi="Calibri" w:cs="Calibri"/>
          <w:b/>
          <w:bCs/>
          <w:color w:val="ED3023"/>
        </w:rPr>
        <w:t>Innovación e investigación</w:t>
      </w:r>
    </w:p>
    <w:p w14:paraId="2AF262B8" w14:textId="77777777" w:rsidR="00E715AC" w:rsidRDefault="00E715AC" w:rsidP="00CC0D88">
      <w:pPr>
        <w:jc w:val="both"/>
        <w:divId w:val="213350225"/>
      </w:pPr>
      <w:r>
        <w:t>La innovación es un eje transversal de la actividad de BRANDT y conecta el conocimiento agronómico con la investigación y la capacidad industrial de la compañía. Este modelo permite desarrollar tecnologías de nutrición, bioestimulación y protección vegetal adaptadas a las necesidades de los cultivos y orientadas a una producción más eficiente y sostenible.</w:t>
      </w:r>
    </w:p>
    <w:p w14:paraId="42239281" w14:textId="77777777" w:rsidR="00BC15A9" w:rsidRPr="00920B10" w:rsidRDefault="005F3804" w:rsidP="005C5DF9">
      <w:pPr>
        <w:divId w:val="161824007"/>
        <w:rPr>
          <w:b/>
          <w:bCs/>
        </w:rPr>
      </w:pPr>
      <w:r w:rsidRPr="00920B10">
        <w:rPr>
          <w:b/>
          <w:bCs/>
        </w:rPr>
        <w:t>BRANDT en cifras</w:t>
      </w:r>
    </w:p>
    <w:tbl>
      <w:tblPr>
        <w:tblW w:w="4336" w:type="pct"/>
        <w:tblBorders>
          <w:top w:val="single" w:sz="4" w:space="0" w:color="ED3023"/>
          <w:left w:val="single" w:sz="4" w:space="0" w:color="ED3023"/>
          <w:bottom w:val="single" w:sz="4" w:space="0" w:color="ED3023"/>
          <w:right w:val="single" w:sz="4" w:space="0" w:color="ED3023"/>
        </w:tblBorders>
        <w:tblCellMar>
          <w:left w:w="0" w:type="dxa"/>
          <w:right w:w="0" w:type="dxa"/>
        </w:tblCellMar>
        <w:tblLook w:val="04A0" w:firstRow="1" w:lastRow="0" w:firstColumn="1" w:lastColumn="0" w:noHBand="0" w:noVBand="1"/>
      </w:tblPr>
      <w:tblGrid>
        <w:gridCol w:w="3044"/>
        <w:gridCol w:w="4322"/>
      </w:tblGrid>
      <w:tr w:rsidR="00050279" w14:paraId="44FFECAB" w14:textId="77777777" w:rsidTr="00AC6F2B">
        <w:trPr>
          <w:trHeight w:val="413"/>
        </w:trPr>
        <w:tc>
          <w:tcPr>
            <w:tcW w:w="0" w:type="auto"/>
            <w:tcBorders>
              <w:top w:val="single" w:sz="4" w:space="0" w:color="ED3023"/>
              <w:left w:val="single" w:sz="4" w:space="0" w:color="ED3023"/>
              <w:bottom w:val="single" w:sz="4" w:space="0" w:color="ED3023"/>
              <w:right w:val="nil"/>
            </w:tcBorders>
            <w:shd w:val="clear" w:color="auto" w:fill="ED3023"/>
            <w:tcMar>
              <w:top w:w="0" w:type="dxa"/>
              <w:left w:w="108" w:type="dxa"/>
              <w:bottom w:w="0" w:type="dxa"/>
              <w:right w:w="108" w:type="dxa"/>
            </w:tcMar>
            <w:hideMark/>
          </w:tcPr>
          <w:p w14:paraId="1EB35F9D" w14:textId="77777777" w:rsidR="00050279" w:rsidRDefault="00050279">
            <w:pPr>
              <w:spacing w:after="40" w:line="210" w:lineRule="atLeast"/>
              <w:rPr>
                <w:kern w:val="2"/>
                <w:sz w:val="18"/>
                <w:szCs w:val="18"/>
                <w:lang w:eastAsia="es-ES"/>
                <w14:ligatures w14:val="standardContextual"/>
              </w:rPr>
            </w:pPr>
            <w:r>
              <w:rPr>
                <w:color w:val="FFFFFF"/>
                <w:sz w:val="18"/>
                <w:szCs w:val="18"/>
                <w:shd w:val="clear" w:color="auto" w:fill="ED3023"/>
              </w:rPr>
              <w:t>Indicador</w:t>
            </w:r>
          </w:p>
        </w:tc>
        <w:tc>
          <w:tcPr>
            <w:tcW w:w="2934" w:type="pct"/>
            <w:tcBorders>
              <w:top w:val="single" w:sz="4" w:space="0" w:color="ED3023"/>
              <w:left w:val="nil"/>
              <w:bottom w:val="single" w:sz="4" w:space="0" w:color="ED3023"/>
              <w:right w:val="single" w:sz="4" w:space="0" w:color="ED3023"/>
            </w:tcBorders>
            <w:shd w:val="clear" w:color="auto" w:fill="ED3023"/>
            <w:tcMar>
              <w:top w:w="0" w:type="dxa"/>
              <w:left w:w="108" w:type="dxa"/>
              <w:bottom w:w="0" w:type="dxa"/>
              <w:right w:w="108" w:type="dxa"/>
            </w:tcMar>
            <w:hideMark/>
          </w:tcPr>
          <w:p w14:paraId="6267D915" w14:textId="77777777" w:rsidR="00050279" w:rsidRDefault="00050279">
            <w:pPr>
              <w:spacing w:after="40" w:line="210" w:lineRule="atLeast"/>
              <w:rPr>
                <w:sz w:val="18"/>
                <w:szCs w:val="18"/>
              </w:rPr>
            </w:pPr>
            <w:r>
              <w:rPr>
                <w:color w:val="FFFFFF"/>
                <w:sz w:val="18"/>
                <w:szCs w:val="18"/>
                <w:shd w:val="clear" w:color="auto" w:fill="ED3023"/>
              </w:rPr>
              <w:t>Cifra clave</w:t>
            </w:r>
          </w:p>
        </w:tc>
      </w:tr>
      <w:tr w:rsidR="00050279" w14:paraId="755B536F"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2927477F" w14:textId="77777777" w:rsidR="00050279" w:rsidRDefault="00050279" w:rsidP="00553957">
            <w:pPr>
              <w:spacing w:after="40" w:line="210" w:lineRule="atLeast"/>
              <w:rPr>
                <w:sz w:val="18"/>
                <w:szCs w:val="18"/>
              </w:rPr>
            </w:pPr>
            <w:r>
              <w:rPr>
                <w:color w:val="000000"/>
                <w:sz w:val="18"/>
                <w:szCs w:val="18"/>
                <w:shd w:val="clear" w:color="auto" w:fill="FFFFFF"/>
              </w:rPr>
              <w:t>Año de fundación</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62EE91C6" w14:textId="77777777" w:rsidR="00050279" w:rsidRDefault="00050279" w:rsidP="00553957">
            <w:pPr>
              <w:spacing w:after="40" w:line="210" w:lineRule="atLeast"/>
              <w:rPr>
                <w:sz w:val="18"/>
                <w:szCs w:val="18"/>
              </w:rPr>
            </w:pPr>
            <w:r>
              <w:rPr>
                <w:b/>
                <w:bCs/>
                <w:color w:val="000000"/>
                <w:sz w:val="18"/>
                <w:szCs w:val="18"/>
                <w:shd w:val="clear" w:color="auto" w:fill="FFFFFF"/>
              </w:rPr>
              <w:t>1953</w:t>
            </w:r>
          </w:p>
        </w:tc>
      </w:tr>
      <w:tr w:rsidR="00050279" w14:paraId="12FC7999"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4B9CC8DA" w14:textId="77777777" w:rsidR="00050279" w:rsidRDefault="00050279" w:rsidP="00553957">
            <w:pPr>
              <w:spacing w:after="40" w:line="210" w:lineRule="atLeast"/>
              <w:rPr>
                <w:sz w:val="18"/>
                <w:szCs w:val="18"/>
              </w:rPr>
            </w:pPr>
            <w:r>
              <w:rPr>
                <w:color w:val="000000"/>
                <w:sz w:val="18"/>
                <w:szCs w:val="18"/>
                <w:shd w:val="clear" w:color="auto" w:fill="FFFFFF"/>
              </w:rPr>
              <w:t>Presencia comercial internacional</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58D23307" w14:textId="77777777" w:rsidR="00050279" w:rsidRDefault="00050279" w:rsidP="00553957">
            <w:pPr>
              <w:spacing w:after="40" w:line="210" w:lineRule="atLeast"/>
              <w:rPr>
                <w:sz w:val="18"/>
                <w:szCs w:val="18"/>
              </w:rPr>
            </w:pPr>
            <w:r>
              <w:rPr>
                <w:b/>
                <w:bCs/>
                <w:color w:val="000000"/>
                <w:sz w:val="18"/>
                <w:szCs w:val="18"/>
                <w:shd w:val="clear" w:color="auto" w:fill="FFFFFF"/>
              </w:rPr>
              <w:t>Más de 80 países</w:t>
            </w:r>
          </w:p>
        </w:tc>
      </w:tr>
      <w:tr w:rsidR="00050279" w14:paraId="43ECFF91"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7AD1A531" w14:textId="77777777" w:rsidR="00050279" w:rsidRDefault="00050279" w:rsidP="00553957">
            <w:pPr>
              <w:spacing w:after="40" w:line="210" w:lineRule="atLeast"/>
              <w:rPr>
                <w:sz w:val="18"/>
                <w:szCs w:val="18"/>
              </w:rPr>
            </w:pPr>
            <w:r>
              <w:rPr>
                <w:color w:val="000000"/>
                <w:sz w:val="18"/>
                <w:szCs w:val="18"/>
                <w:shd w:val="clear" w:color="auto" w:fill="FFFFFF"/>
              </w:rPr>
              <w:t>Alcance en Estados Unidos</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57BB34FF" w14:textId="77777777" w:rsidR="00050279" w:rsidRDefault="00050279" w:rsidP="00553957">
            <w:pPr>
              <w:spacing w:after="40" w:line="210" w:lineRule="atLeast"/>
              <w:rPr>
                <w:sz w:val="18"/>
                <w:szCs w:val="18"/>
              </w:rPr>
            </w:pPr>
            <w:r>
              <w:rPr>
                <w:b/>
                <w:bCs/>
                <w:color w:val="000000"/>
                <w:sz w:val="18"/>
                <w:szCs w:val="18"/>
                <w:shd w:val="clear" w:color="auto" w:fill="FFFFFF"/>
              </w:rPr>
              <w:t>49 estados</w:t>
            </w:r>
          </w:p>
        </w:tc>
      </w:tr>
      <w:tr w:rsidR="00050279" w14:paraId="6979B011"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76152AD9" w14:textId="77777777" w:rsidR="00050279" w:rsidRDefault="00050279" w:rsidP="00553957">
            <w:pPr>
              <w:spacing w:after="40" w:line="210" w:lineRule="atLeast"/>
              <w:rPr>
                <w:sz w:val="18"/>
                <w:szCs w:val="18"/>
              </w:rPr>
            </w:pPr>
            <w:r>
              <w:rPr>
                <w:color w:val="000000"/>
                <w:sz w:val="18"/>
                <w:szCs w:val="18"/>
                <w:shd w:val="clear" w:color="auto" w:fill="FFFFFF"/>
              </w:rPr>
              <w:t>Ventas</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2519CA7C" w14:textId="77777777" w:rsidR="00050279" w:rsidRDefault="00050279" w:rsidP="00553957">
            <w:pPr>
              <w:spacing w:after="40" w:line="210" w:lineRule="atLeast"/>
              <w:rPr>
                <w:sz w:val="18"/>
                <w:szCs w:val="18"/>
              </w:rPr>
            </w:pPr>
            <w:r>
              <w:rPr>
                <w:b/>
                <w:bCs/>
                <w:color w:val="000000"/>
                <w:sz w:val="18"/>
                <w:szCs w:val="18"/>
                <w:shd w:val="clear" w:color="auto" w:fill="FFFFFF"/>
              </w:rPr>
              <w:t>Más de 550 millones de dólares estadounidenses</w:t>
            </w:r>
          </w:p>
        </w:tc>
      </w:tr>
      <w:tr w:rsidR="00050279" w14:paraId="3B476F4C"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7C645EC7" w14:textId="77777777" w:rsidR="00050279" w:rsidRDefault="00050279" w:rsidP="00553957">
            <w:pPr>
              <w:spacing w:after="40" w:line="210" w:lineRule="atLeast"/>
              <w:rPr>
                <w:sz w:val="18"/>
                <w:szCs w:val="18"/>
              </w:rPr>
            </w:pPr>
            <w:r>
              <w:rPr>
                <w:color w:val="000000"/>
                <w:sz w:val="18"/>
                <w:szCs w:val="18"/>
                <w:shd w:val="clear" w:color="auto" w:fill="FFFFFF"/>
              </w:rPr>
              <w:t>Equipo</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3194F9FF" w14:textId="77777777" w:rsidR="00050279" w:rsidRDefault="00050279" w:rsidP="00553957">
            <w:pPr>
              <w:spacing w:after="40" w:line="210" w:lineRule="atLeast"/>
              <w:rPr>
                <w:sz w:val="18"/>
                <w:szCs w:val="18"/>
              </w:rPr>
            </w:pPr>
            <w:r>
              <w:rPr>
                <w:b/>
                <w:bCs/>
                <w:color w:val="000000"/>
                <w:sz w:val="18"/>
                <w:szCs w:val="18"/>
                <w:shd w:val="clear" w:color="auto" w:fill="FFFFFF"/>
              </w:rPr>
              <w:t>Más de 600 empleados</w:t>
            </w:r>
          </w:p>
        </w:tc>
      </w:tr>
      <w:tr w:rsidR="00050279" w14:paraId="4A2B6AF7" w14:textId="77777777" w:rsidTr="00553957">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3E859146" w14:textId="77777777" w:rsidR="00050279" w:rsidRDefault="00050279" w:rsidP="00553957">
            <w:pPr>
              <w:spacing w:after="40" w:line="210" w:lineRule="atLeast"/>
              <w:rPr>
                <w:sz w:val="18"/>
                <w:szCs w:val="18"/>
              </w:rPr>
            </w:pPr>
            <w:r>
              <w:rPr>
                <w:color w:val="000000"/>
                <w:sz w:val="18"/>
                <w:szCs w:val="18"/>
                <w:shd w:val="clear" w:color="auto" w:fill="FFFFFF"/>
              </w:rPr>
              <w:t>Presidente y director ejecutivo</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2522FC07" w14:textId="77777777" w:rsidR="00050279" w:rsidRDefault="00050279" w:rsidP="00553957">
            <w:pPr>
              <w:spacing w:after="40" w:line="210" w:lineRule="atLeast"/>
              <w:rPr>
                <w:sz w:val="18"/>
                <w:szCs w:val="18"/>
              </w:rPr>
            </w:pPr>
            <w:r>
              <w:rPr>
                <w:b/>
                <w:bCs/>
                <w:color w:val="000000"/>
                <w:sz w:val="18"/>
                <w:szCs w:val="18"/>
                <w:shd w:val="clear" w:color="auto" w:fill="FFFFFF"/>
              </w:rPr>
              <w:t>Rick Brandt</w:t>
            </w:r>
          </w:p>
        </w:tc>
      </w:tr>
      <w:tr w:rsidR="00050279" w14:paraId="52A60397" w14:textId="77777777" w:rsidTr="00AC6F2B">
        <w:trPr>
          <w:trHeight w:val="41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7EB35813" w14:textId="77777777" w:rsidR="00050279" w:rsidRDefault="00050279">
            <w:pPr>
              <w:spacing w:after="40" w:line="210" w:lineRule="atLeast"/>
              <w:rPr>
                <w:sz w:val="18"/>
                <w:szCs w:val="18"/>
              </w:rPr>
            </w:pPr>
            <w:r>
              <w:rPr>
                <w:color w:val="000000"/>
                <w:sz w:val="18"/>
                <w:szCs w:val="18"/>
                <w:shd w:val="clear" w:color="auto" w:fill="FFFFFF"/>
              </w:rPr>
              <w:t>Tipo de empresa</w:t>
            </w:r>
          </w:p>
        </w:tc>
        <w:tc>
          <w:tcPr>
            <w:tcW w:w="2934"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4146C2A5" w14:textId="77777777" w:rsidR="00050279" w:rsidRDefault="00050279">
            <w:pPr>
              <w:spacing w:after="40" w:line="210" w:lineRule="atLeast"/>
              <w:rPr>
                <w:sz w:val="18"/>
                <w:szCs w:val="18"/>
              </w:rPr>
            </w:pPr>
            <w:r>
              <w:rPr>
                <w:b/>
                <w:bCs/>
                <w:color w:val="000000"/>
                <w:sz w:val="18"/>
                <w:szCs w:val="18"/>
                <w:shd w:val="clear" w:color="auto" w:fill="FFFFFF"/>
              </w:rPr>
              <w:t>Compañía familiar</w:t>
            </w:r>
          </w:p>
        </w:tc>
      </w:tr>
    </w:tbl>
    <w:p w14:paraId="656D30D5" w14:textId="77777777" w:rsidR="003813E7" w:rsidRDefault="003813E7">
      <w:pPr>
        <w:rPr>
          <w:kern w:val="2"/>
          <w:lang w:eastAsia="es-ES"/>
          <w14:ligatures w14:val="standardContextual"/>
        </w:rPr>
      </w:pPr>
    </w:p>
    <w:p w14:paraId="2EA4312B" w14:textId="77777777" w:rsidR="00C75737" w:rsidRDefault="00C75737" w:rsidP="00C75737">
      <w:pPr>
        <w:jc w:val="both"/>
        <w:divId w:val="161824007"/>
        <w:rPr>
          <w:kern w:val="2"/>
          <w:lang w:eastAsia="es-ES"/>
          <w14:ligatures w14:val="standardContextual"/>
        </w:rPr>
      </w:pPr>
      <w:r>
        <w:lastRenderedPageBreak/>
        <w:t xml:space="preserve">La sede central de </w:t>
      </w:r>
      <w:r>
        <w:rPr>
          <w:b/>
          <w:bCs/>
        </w:rPr>
        <w:t>BRANDT</w:t>
      </w:r>
      <w:r>
        <w:t xml:space="preserve"> se encuentra en Springfield, Illinois (Estados Unidos), donde la compañía cuenta también con una granja de ensayos y un centro de investigación que respaldan el desarrollo y la validación de nuevas tecnologías para la agricultura.</w:t>
      </w:r>
    </w:p>
    <w:p w14:paraId="2959A90B" w14:textId="77777777" w:rsidR="00BC15A9" w:rsidRDefault="004105BB" w:rsidP="00FE43D1">
      <w:pPr>
        <w:divId w:val="161824007"/>
      </w:pPr>
      <w:r>
        <w:rPr>
          <w:b/>
          <w:bCs/>
          <w:color w:val="ED3023"/>
          <w:sz w:val="32"/>
          <w:szCs w:val="32"/>
        </w:rPr>
        <w:t>BRANDT Europe</w:t>
      </w:r>
    </w:p>
    <w:p w14:paraId="6A11AF01" w14:textId="23915C50" w:rsidR="00BC15A9" w:rsidRDefault="00A33FBF" w:rsidP="00CC0D88">
      <w:pPr>
        <w:jc w:val="both"/>
        <w:divId w:val="161824007"/>
      </w:pPr>
      <w:hyperlink r:id="rId12" w:history="1">
        <w:r>
          <w:rPr>
            <w:rStyle w:val="Hipervnculo"/>
          </w:rPr>
          <w:t>BRANDT Europe</w:t>
        </w:r>
      </w:hyperlink>
      <w:r w:rsidR="005F3804">
        <w:t xml:space="preserve"> articula la actividad del grupo en el mercado EME</w:t>
      </w:r>
      <w:r w:rsidR="0057796C">
        <w:t>N</w:t>
      </w:r>
      <w:r w:rsidR="005F3804">
        <w:t>A</w:t>
      </w:r>
      <w:r w:rsidR="0057796C">
        <w:t xml:space="preserve"> y Asia</w:t>
      </w:r>
      <w:r w:rsidR="005F3804">
        <w:t xml:space="preserve"> desde su sede y planta de producción en Carmona, Sevilla. Especializada en nutrición y sanidad vegetal, desarrolla y comercializa soluciones para cultivos arbóreos, industriales y hortícolas, así como para céspedes y plantas ornamentales.</w:t>
      </w:r>
    </w:p>
    <w:p w14:paraId="7A2FE167" w14:textId="5C4CBBCE" w:rsidR="00BC15A9" w:rsidRDefault="005F3804" w:rsidP="00CC0D88">
      <w:pPr>
        <w:jc w:val="both"/>
        <w:divId w:val="161824007"/>
      </w:pPr>
      <w:r>
        <w:t>La empresa cuenta con una cartera de más de 250 productos</w:t>
      </w:r>
      <w:r w:rsidR="009715A7">
        <w:t xml:space="preserve"> y presencia comercial</w:t>
      </w:r>
      <w:r>
        <w:t xml:space="preserve"> en más de 45 países</w:t>
      </w:r>
      <w:r w:rsidR="009715A7">
        <w:t xml:space="preserve"> de</w:t>
      </w:r>
      <w:r w:rsidR="0057796C" w:rsidRPr="0057796C">
        <w:t xml:space="preserve"> </w:t>
      </w:r>
      <w:r w:rsidR="0057796C">
        <w:t>EMENA y Asia</w:t>
      </w:r>
      <w:r w:rsidR="009715A7">
        <w:t xml:space="preserve">. Su </w:t>
      </w:r>
      <w:r>
        <w:t xml:space="preserve">experiencia tecnológica </w:t>
      </w:r>
      <w:r w:rsidR="009715A7">
        <w:t xml:space="preserve">se combina </w:t>
      </w:r>
      <w:r>
        <w:t xml:space="preserve">con la capacidad industrial de </w:t>
      </w:r>
      <w:r w:rsidR="009715A7">
        <w:t>las</w:t>
      </w:r>
      <w:r>
        <w:t xml:space="preserve"> instalaciones </w:t>
      </w:r>
      <w:r w:rsidR="009715A7">
        <w:t>de Carmona y con</w:t>
      </w:r>
      <w:r>
        <w:t xml:space="preserve"> el respaldo del área </w:t>
      </w:r>
      <w:r w:rsidR="009715A7">
        <w:t xml:space="preserve">global </w:t>
      </w:r>
      <w:r>
        <w:t xml:space="preserve">de investigación y desarrollo de </w:t>
      </w:r>
      <w:r w:rsidR="009715A7">
        <w:t xml:space="preserve">BRANDT. Esta estructura permite desarrollar soluciones orientadas a mejorar </w:t>
      </w:r>
      <w:r>
        <w:t xml:space="preserve">la </w:t>
      </w:r>
      <w:r w:rsidR="009715A7">
        <w:t>eficiencia, la sostenibilidad y el potencial productivo de los cultivos.</w:t>
      </w:r>
    </w:p>
    <w:p w14:paraId="2E9F26CB" w14:textId="77777777" w:rsidR="00BC15A9" w:rsidRDefault="00E3456F" w:rsidP="00CC0D88">
      <w:pPr>
        <w:jc w:val="both"/>
        <w:divId w:val="161824007"/>
      </w:pPr>
      <w:r>
        <w:t>BRANDT Europe completa esta oferta</w:t>
      </w:r>
      <w:r w:rsidR="005F3804">
        <w:t xml:space="preserve"> con una línea de productos ecológicos y con instalaciones dedicadas al desarrollo de soluciones orgánicas certificadas</w:t>
      </w:r>
      <w:r>
        <w:t>. Ambas capacidades se apoyan en</w:t>
      </w:r>
      <w:r w:rsidR="005F3804">
        <w:t xml:space="preserve"> un proceso continuo de investigación e innovación.</w:t>
      </w:r>
    </w:p>
    <w:p w14:paraId="7830D2D0" w14:textId="77777777" w:rsidR="00BC15A9" w:rsidRPr="00920B10" w:rsidRDefault="005F3804" w:rsidP="007B2FE1">
      <w:pPr>
        <w:divId w:val="161824007"/>
        <w:rPr>
          <w:b/>
          <w:bCs/>
        </w:rPr>
      </w:pPr>
      <w:r w:rsidRPr="00920B10">
        <w:rPr>
          <w:b/>
          <w:bCs/>
        </w:rPr>
        <w:t>BRANDT Europe en cifras</w:t>
      </w:r>
    </w:p>
    <w:tbl>
      <w:tblPr>
        <w:tblW w:w="4753" w:type="pct"/>
        <w:tblBorders>
          <w:top w:val="single" w:sz="4" w:space="0" w:color="ED3023"/>
          <w:left w:val="single" w:sz="4" w:space="0" w:color="ED3023"/>
          <w:bottom w:val="single" w:sz="4" w:space="0" w:color="ED3023"/>
          <w:right w:val="single" w:sz="4" w:space="0" w:color="ED3023"/>
        </w:tblBorders>
        <w:tblCellMar>
          <w:left w:w="0" w:type="dxa"/>
          <w:right w:w="0" w:type="dxa"/>
        </w:tblCellMar>
        <w:tblLook w:val="04A0" w:firstRow="1" w:lastRow="0" w:firstColumn="1" w:lastColumn="0" w:noHBand="0" w:noVBand="1"/>
      </w:tblPr>
      <w:tblGrid>
        <w:gridCol w:w="2677"/>
        <w:gridCol w:w="5397"/>
      </w:tblGrid>
      <w:tr w:rsidR="000137DB" w14:paraId="2DD0724D" w14:textId="77777777" w:rsidTr="00AC6F2B">
        <w:trPr>
          <w:divId w:val="500196054"/>
        </w:trPr>
        <w:tc>
          <w:tcPr>
            <w:tcW w:w="0" w:type="auto"/>
            <w:tcBorders>
              <w:top w:val="single" w:sz="4" w:space="0" w:color="ED3023"/>
              <w:left w:val="single" w:sz="4" w:space="0" w:color="ED3023"/>
              <w:bottom w:val="single" w:sz="4" w:space="0" w:color="ED3023"/>
              <w:right w:val="nil"/>
            </w:tcBorders>
            <w:shd w:val="clear" w:color="auto" w:fill="ED3023"/>
            <w:tcMar>
              <w:top w:w="0" w:type="dxa"/>
              <w:left w:w="108" w:type="dxa"/>
              <w:bottom w:w="0" w:type="dxa"/>
              <w:right w:w="108" w:type="dxa"/>
            </w:tcMar>
            <w:hideMark/>
          </w:tcPr>
          <w:p w14:paraId="67A207E4" w14:textId="77777777" w:rsidR="000137DB" w:rsidRDefault="000137DB">
            <w:pPr>
              <w:spacing w:after="40" w:line="210" w:lineRule="atLeast"/>
              <w:rPr>
                <w:kern w:val="2"/>
                <w:sz w:val="18"/>
                <w:szCs w:val="18"/>
                <w:lang w:eastAsia="es-ES"/>
                <w14:ligatures w14:val="standardContextual"/>
              </w:rPr>
            </w:pPr>
            <w:r>
              <w:rPr>
                <w:color w:val="FFFFFF"/>
                <w:sz w:val="18"/>
                <w:szCs w:val="18"/>
                <w:shd w:val="clear" w:color="auto" w:fill="ED3023"/>
              </w:rPr>
              <w:t>Indicador</w:t>
            </w:r>
          </w:p>
        </w:tc>
        <w:tc>
          <w:tcPr>
            <w:tcW w:w="3342" w:type="pct"/>
            <w:tcBorders>
              <w:top w:val="single" w:sz="4" w:space="0" w:color="ED3023"/>
              <w:left w:val="nil"/>
              <w:bottom w:val="single" w:sz="4" w:space="0" w:color="ED3023"/>
              <w:right w:val="single" w:sz="4" w:space="0" w:color="ED3023"/>
            </w:tcBorders>
            <w:shd w:val="clear" w:color="auto" w:fill="ED3023"/>
            <w:tcMar>
              <w:top w:w="0" w:type="dxa"/>
              <w:left w:w="108" w:type="dxa"/>
              <w:bottom w:w="0" w:type="dxa"/>
              <w:right w:w="108" w:type="dxa"/>
            </w:tcMar>
            <w:hideMark/>
          </w:tcPr>
          <w:p w14:paraId="4E159A62" w14:textId="77777777" w:rsidR="000137DB" w:rsidRDefault="000137DB">
            <w:pPr>
              <w:spacing w:after="40" w:line="210" w:lineRule="atLeast"/>
              <w:rPr>
                <w:sz w:val="18"/>
                <w:szCs w:val="18"/>
              </w:rPr>
            </w:pPr>
            <w:r>
              <w:rPr>
                <w:color w:val="FFFFFF"/>
                <w:sz w:val="18"/>
                <w:szCs w:val="18"/>
                <w:shd w:val="clear" w:color="auto" w:fill="ED3023"/>
              </w:rPr>
              <w:t>Cifra clave</w:t>
            </w:r>
          </w:p>
        </w:tc>
      </w:tr>
      <w:tr w:rsidR="000137DB" w14:paraId="6BD9275E"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7F2CEA15" w14:textId="77777777" w:rsidR="000137DB" w:rsidRDefault="000137DB">
            <w:pPr>
              <w:spacing w:after="40" w:line="210" w:lineRule="atLeast"/>
              <w:rPr>
                <w:sz w:val="18"/>
                <w:szCs w:val="18"/>
              </w:rPr>
            </w:pPr>
            <w:r>
              <w:rPr>
                <w:color w:val="000000"/>
                <w:sz w:val="18"/>
                <w:szCs w:val="18"/>
                <w:shd w:val="clear" w:color="auto" w:fill="FFFFFF"/>
              </w:rPr>
              <w:t>Productos en cartera</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791D15C5" w14:textId="77777777" w:rsidR="000137DB" w:rsidRDefault="000137DB">
            <w:pPr>
              <w:spacing w:after="40" w:line="210" w:lineRule="atLeast"/>
              <w:rPr>
                <w:sz w:val="18"/>
                <w:szCs w:val="18"/>
              </w:rPr>
            </w:pPr>
            <w:r>
              <w:rPr>
                <w:b/>
                <w:bCs/>
                <w:color w:val="000000"/>
                <w:sz w:val="18"/>
                <w:szCs w:val="18"/>
                <w:shd w:val="clear" w:color="auto" w:fill="FFFFFF"/>
              </w:rPr>
              <w:t>Más de 250</w:t>
            </w:r>
          </w:p>
        </w:tc>
      </w:tr>
      <w:tr w:rsidR="000137DB" w14:paraId="50BFB0D5"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04C82448" w14:textId="77777777" w:rsidR="000137DB" w:rsidRDefault="000137DB">
            <w:pPr>
              <w:spacing w:after="40" w:line="210" w:lineRule="atLeast"/>
              <w:rPr>
                <w:sz w:val="18"/>
                <w:szCs w:val="18"/>
              </w:rPr>
            </w:pPr>
            <w:r>
              <w:rPr>
                <w:color w:val="000000"/>
                <w:sz w:val="18"/>
                <w:szCs w:val="18"/>
                <w:shd w:val="clear" w:color="auto" w:fill="FFFFFF"/>
              </w:rPr>
              <w:t>Sede y planta de producción</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0D249DA0" w14:textId="77777777" w:rsidR="000137DB" w:rsidRDefault="000137DB">
            <w:pPr>
              <w:spacing w:after="40" w:line="210" w:lineRule="atLeast"/>
              <w:rPr>
                <w:sz w:val="18"/>
                <w:szCs w:val="18"/>
              </w:rPr>
            </w:pPr>
            <w:r>
              <w:rPr>
                <w:b/>
                <w:bCs/>
                <w:color w:val="000000"/>
                <w:sz w:val="18"/>
                <w:szCs w:val="18"/>
                <w:shd w:val="clear" w:color="auto" w:fill="FFFFFF"/>
              </w:rPr>
              <w:t>Carmona (Sevilla)</w:t>
            </w:r>
          </w:p>
        </w:tc>
      </w:tr>
      <w:tr w:rsidR="000137DB" w14:paraId="6B8DFCFE"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64EFAD93" w14:textId="77777777" w:rsidR="000137DB" w:rsidRDefault="000137DB">
            <w:pPr>
              <w:spacing w:after="40" w:line="210" w:lineRule="atLeast"/>
              <w:rPr>
                <w:sz w:val="18"/>
                <w:szCs w:val="18"/>
              </w:rPr>
            </w:pPr>
            <w:r>
              <w:rPr>
                <w:color w:val="000000"/>
                <w:sz w:val="18"/>
                <w:szCs w:val="18"/>
                <w:shd w:val="clear" w:color="auto" w:fill="FFFFFF"/>
              </w:rPr>
              <w:t>Especialización</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59E2C435" w14:textId="77777777" w:rsidR="000137DB" w:rsidRDefault="000137DB">
            <w:pPr>
              <w:spacing w:after="40" w:line="210" w:lineRule="atLeast"/>
              <w:rPr>
                <w:sz w:val="18"/>
                <w:szCs w:val="18"/>
              </w:rPr>
            </w:pPr>
            <w:r>
              <w:rPr>
                <w:b/>
                <w:bCs/>
                <w:color w:val="000000"/>
                <w:sz w:val="18"/>
                <w:szCs w:val="18"/>
                <w:shd w:val="clear" w:color="auto" w:fill="FFFFFF"/>
              </w:rPr>
              <w:t>Nutrición y sanidad vegetal</w:t>
            </w:r>
          </w:p>
        </w:tc>
      </w:tr>
      <w:tr w:rsidR="000137DB" w14:paraId="63B2F122"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412F9103" w14:textId="77777777" w:rsidR="000137DB" w:rsidRDefault="000137DB">
            <w:pPr>
              <w:spacing w:after="40" w:line="210" w:lineRule="atLeast"/>
              <w:rPr>
                <w:sz w:val="18"/>
                <w:szCs w:val="18"/>
              </w:rPr>
            </w:pPr>
            <w:r>
              <w:rPr>
                <w:color w:val="000000"/>
                <w:sz w:val="18"/>
                <w:szCs w:val="18"/>
                <w:shd w:val="clear" w:color="auto" w:fill="FFFFFF"/>
              </w:rPr>
              <w:t>Mercados agrícolas atendidos</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58DAF9ED" w14:textId="77777777" w:rsidR="000137DB" w:rsidRDefault="000137DB">
            <w:pPr>
              <w:spacing w:after="40" w:line="210" w:lineRule="atLeast"/>
              <w:rPr>
                <w:sz w:val="18"/>
                <w:szCs w:val="18"/>
              </w:rPr>
            </w:pPr>
            <w:r>
              <w:rPr>
                <w:b/>
                <w:bCs/>
                <w:color w:val="000000"/>
                <w:sz w:val="18"/>
                <w:szCs w:val="18"/>
                <w:shd w:val="clear" w:color="auto" w:fill="FFFFFF"/>
              </w:rPr>
              <w:t>Cultivos arbóreos, industriales y hortícolas; céspedes y ornamentales</w:t>
            </w:r>
          </w:p>
        </w:tc>
      </w:tr>
      <w:tr w:rsidR="000137DB" w14:paraId="4A691C01"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62D97EBD" w14:textId="77777777" w:rsidR="000137DB" w:rsidRDefault="000137DB">
            <w:pPr>
              <w:spacing w:after="40" w:line="210" w:lineRule="atLeast"/>
              <w:rPr>
                <w:sz w:val="18"/>
                <w:szCs w:val="18"/>
              </w:rPr>
            </w:pPr>
            <w:r>
              <w:rPr>
                <w:color w:val="000000"/>
                <w:sz w:val="18"/>
                <w:szCs w:val="18"/>
                <w:shd w:val="clear" w:color="auto" w:fill="FFFFFF"/>
              </w:rPr>
              <w:t>Capacidad de innovación</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4CE00D40" w14:textId="77777777" w:rsidR="000137DB" w:rsidRDefault="000137DB">
            <w:pPr>
              <w:spacing w:after="40" w:line="210" w:lineRule="atLeast"/>
              <w:rPr>
                <w:sz w:val="18"/>
                <w:szCs w:val="18"/>
              </w:rPr>
            </w:pPr>
            <w:r>
              <w:rPr>
                <w:b/>
                <w:bCs/>
                <w:color w:val="000000"/>
                <w:sz w:val="18"/>
                <w:szCs w:val="18"/>
                <w:shd w:val="clear" w:color="auto" w:fill="FFFFFF"/>
              </w:rPr>
              <w:t>Respaldo del área global de I+D de BRANDT</w:t>
            </w:r>
          </w:p>
        </w:tc>
      </w:tr>
      <w:tr w:rsidR="000137DB" w14:paraId="4C071FEE" w14:textId="77777777" w:rsidTr="00AC6F2B">
        <w:trPr>
          <w:divId w:val="50019605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3D641E57" w14:textId="77777777" w:rsidR="000137DB" w:rsidRDefault="000137DB">
            <w:pPr>
              <w:spacing w:after="40" w:line="210" w:lineRule="atLeast"/>
              <w:rPr>
                <w:sz w:val="18"/>
                <w:szCs w:val="18"/>
              </w:rPr>
            </w:pPr>
            <w:r>
              <w:rPr>
                <w:color w:val="000000"/>
                <w:sz w:val="18"/>
                <w:szCs w:val="18"/>
                <w:shd w:val="clear" w:color="auto" w:fill="FFFFFF"/>
              </w:rPr>
              <w:t>Producción sostenible</w:t>
            </w:r>
          </w:p>
        </w:tc>
        <w:tc>
          <w:tcPr>
            <w:tcW w:w="3342"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14:paraId="44ECD07D" w14:textId="77777777" w:rsidR="000137DB" w:rsidRDefault="000137DB">
            <w:pPr>
              <w:spacing w:after="40" w:line="210" w:lineRule="atLeast"/>
              <w:rPr>
                <w:sz w:val="18"/>
                <w:szCs w:val="18"/>
              </w:rPr>
            </w:pPr>
            <w:r>
              <w:rPr>
                <w:b/>
                <w:bCs/>
                <w:color w:val="000000"/>
                <w:sz w:val="18"/>
                <w:szCs w:val="18"/>
                <w:shd w:val="clear" w:color="auto" w:fill="FFFFFF"/>
              </w:rPr>
              <w:t>Instalaciones dedicadas a soluciones orgánicas certificadas</w:t>
            </w:r>
          </w:p>
        </w:tc>
      </w:tr>
    </w:tbl>
    <w:p w14:paraId="108DEEB9" w14:textId="77777777" w:rsidR="00B748D0" w:rsidRDefault="00B748D0">
      <w:pPr>
        <w:divId w:val="500196054"/>
        <w:rPr>
          <w:rFonts w:ascii="Calibri" w:hAnsi="Calibri" w:cs="Calibri"/>
        </w:rPr>
      </w:pPr>
    </w:p>
    <w:p w14:paraId="002E9FCE" w14:textId="77777777" w:rsidR="00BC15A9" w:rsidRPr="00920B10" w:rsidRDefault="005F3804" w:rsidP="002F2DC9">
      <w:pPr>
        <w:divId w:val="161824007"/>
        <w:rPr>
          <w:rFonts w:ascii="Calibri" w:hAnsi="Calibri" w:cs="Calibri"/>
          <w:b/>
          <w:bCs/>
          <w:color w:val="ED3023"/>
          <w:sz w:val="32"/>
          <w:szCs w:val="32"/>
        </w:rPr>
      </w:pPr>
      <w:r w:rsidRPr="00920B10">
        <w:rPr>
          <w:rFonts w:ascii="Calibri" w:hAnsi="Calibri" w:cs="Calibri"/>
          <w:b/>
          <w:bCs/>
          <w:color w:val="ED3023"/>
          <w:sz w:val="32"/>
          <w:szCs w:val="32"/>
        </w:rPr>
        <w:t>Principales productos para agricultura</w:t>
      </w:r>
    </w:p>
    <w:p w14:paraId="2B79B9DC" w14:textId="01D0CC63" w:rsidR="00BC15A9" w:rsidRDefault="005F3804" w:rsidP="00CC0D88">
      <w:pPr>
        <w:jc w:val="both"/>
        <w:divId w:val="161824007"/>
      </w:pPr>
      <w:r>
        <w:t xml:space="preserve">BRANDT cuenta con una amplia cartera de soluciones para la nutrición, </w:t>
      </w:r>
      <w:r w:rsidR="004D16CD">
        <w:t xml:space="preserve">la </w:t>
      </w:r>
      <w:r>
        <w:t xml:space="preserve">bioestimulación y </w:t>
      </w:r>
      <w:r w:rsidR="004D16CD">
        <w:t xml:space="preserve">la </w:t>
      </w:r>
      <w:r>
        <w:t xml:space="preserve">protección de los cultivos, </w:t>
      </w:r>
      <w:r w:rsidR="004D16CD">
        <w:t xml:space="preserve">además de </w:t>
      </w:r>
      <w:r>
        <w:t>adyuvantes y tratamientos de semillas.</w:t>
      </w:r>
      <w:r w:rsidR="004D16CD">
        <w:t xml:space="preserve"> A </w:t>
      </w:r>
      <w:r w:rsidR="00424F47">
        <w:t>continuación,</w:t>
      </w:r>
      <w:r w:rsidR="004D16CD">
        <w:t xml:space="preserve"> se recoge una selección de sus principales líneas y productos para agricultura.</w:t>
      </w:r>
    </w:p>
    <w:p w14:paraId="58D9A154" w14:textId="77777777" w:rsidR="00BC15A9" w:rsidRPr="00424F47" w:rsidRDefault="005F3804" w:rsidP="004671BC">
      <w:pPr>
        <w:divId w:val="161824007"/>
        <w:rPr>
          <w:b/>
          <w:bCs/>
        </w:rPr>
      </w:pPr>
      <w:r w:rsidRPr="00424F47">
        <w:rPr>
          <w:b/>
          <w:bCs/>
        </w:rPr>
        <w:t>Nutrientes y bioestimulantes</w:t>
      </w:r>
    </w:p>
    <w:p w14:paraId="583A1F0C" w14:textId="07078307" w:rsidR="006C26FB" w:rsidRDefault="00E715AC" w:rsidP="006C26FB">
      <w:pPr>
        <w:pStyle w:val="Prrafodelista"/>
        <w:numPr>
          <w:ilvl w:val="0"/>
          <w:numId w:val="5"/>
        </w:numPr>
        <w:divId w:val="1363901656"/>
      </w:pPr>
      <w:r>
        <w:t xml:space="preserve">BRANDT® </w:t>
      </w:r>
      <w:r w:rsidR="007D5B11">
        <w:t>Manni-Plex®</w:t>
      </w:r>
    </w:p>
    <w:p w14:paraId="48C5F6D6" w14:textId="77777777" w:rsidR="006C26FB" w:rsidRDefault="006C26FB" w:rsidP="006C26FB">
      <w:pPr>
        <w:pStyle w:val="Prrafodelista"/>
        <w:numPr>
          <w:ilvl w:val="0"/>
          <w:numId w:val="5"/>
        </w:numPr>
        <w:divId w:val="1363901656"/>
      </w:pPr>
      <w:r>
        <w:t>BRANDT® Smart System®</w:t>
      </w:r>
    </w:p>
    <w:p w14:paraId="6D9B43A9" w14:textId="77777777" w:rsidR="006C26FB" w:rsidRDefault="006C26FB" w:rsidP="006C26FB">
      <w:pPr>
        <w:pStyle w:val="Prrafodelista"/>
        <w:numPr>
          <w:ilvl w:val="0"/>
          <w:numId w:val="5"/>
        </w:numPr>
        <w:divId w:val="1363901656"/>
      </w:pPr>
      <w:r>
        <w:t>BRANDT® Organiplex®</w:t>
      </w:r>
    </w:p>
    <w:p w14:paraId="68F7336F" w14:textId="77777777" w:rsidR="006C26FB" w:rsidRDefault="006C26FB" w:rsidP="006C26FB">
      <w:pPr>
        <w:pStyle w:val="Prrafodelista"/>
        <w:numPr>
          <w:ilvl w:val="0"/>
          <w:numId w:val="5"/>
        </w:numPr>
        <w:divId w:val="1363901656"/>
      </w:pPr>
      <w:r>
        <w:t>BRANDT® Plant Start®</w:t>
      </w:r>
    </w:p>
    <w:p w14:paraId="6E7D27F3" w14:textId="77777777" w:rsidR="006C26FB" w:rsidRDefault="006C26FB" w:rsidP="006C26FB">
      <w:pPr>
        <w:pStyle w:val="Prrafodelista"/>
        <w:numPr>
          <w:ilvl w:val="0"/>
          <w:numId w:val="5"/>
        </w:numPr>
        <w:divId w:val="1363901656"/>
      </w:pPr>
      <w:r>
        <w:t>BRANDT® Bio-Master®</w:t>
      </w:r>
    </w:p>
    <w:p w14:paraId="10B5233E" w14:textId="77777777" w:rsidR="006C26FB" w:rsidRDefault="006C26FB" w:rsidP="006C26FB">
      <w:pPr>
        <w:pStyle w:val="Prrafodelista"/>
        <w:numPr>
          <w:ilvl w:val="0"/>
          <w:numId w:val="5"/>
        </w:numPr>
        <w:divId w:val="1363901656"/>
      </w:pPr>
      <w:r>
        <w:t>BRANDT® AminoPlex™</w:t>
      </w:r>
    </w:p>
    <w:p w14:paraId="1015CEDA" w14:textId="77777777" w:rsidR="006C26FB" w:rsidRDefault="006C26FB" w:rsidP="006C26FB">
      <w:pPr>
        <w:pStyle w:val="Prrafodelista"/>
        <w:numPr>
          <w:ilvl w:val="0"/>
          <w:numId w:val="5"/>
        </w:numPr>
        <w:divId w:val="1363901656"/>
      </w:pPr>
      <w:r>
        <w:t>BRANDT® InVigo™</w:t>
      </w:r>
    </w:p>
    <w:p w14:paraId="2776ADF8" w14:textId="0CEE214E" w:rsidR="00BC15A9" w:rsidRPr="00424F47" w:rsidRDefault="005F3804" w:rsidP="00B02D0D">
      <w:pPr>
        <w:divId w:val="161824007"/>
        <w:rPr>
          <w:b/>
          <w:bCs/>
        </w:rPr>
      </w:pPr>
      <w:r w:rsidRPr="00424F47">
        <w:rPr>
          <w:b/>
          <w:bCs/>
        </w:rPr>
        <w:t>Protección de cultivos y adyuvantes</w:t>
      </w:r>
    </w:p>
    <w:p w14:paraId="06B310E1" w14:textId="77777777" w:rsidR="006C26FB" w:rsidRDefault="006C26FB" w:rsidP="006C26FB">
      <w:pPr>
        <w:pStyle w:val="Prrafodelista"/>
        <w:numPr>
          <w:ilvl w:val="0"/>
          <w:numId w:val="6"/>
        </w:numPr>
        <w:divId w:val="1363901656"/>
      </w:pPr>
      <w:r>
        <w:t>BRANDT® Umbrella®</w:t>
      </w:r>
    </w:p>
    <w:p w14:paraId="466645B1" w14:textId="77777777" w:rsidR="006C26FB" w:rsidRDefault="006C26FB" w:rsidP="006C26FB">
      <w:pPr>
        <w:pStyle w:val="Prrafodelista"/>
        <w:numPr>
          <w:ilvl w:val="0"/>
          <w:numId w:val="6"/>
        </w:numPr>
        <w:divId w:val="1363901656"/>
      </w:pPr>
      <w:r>
        <w:t>BRANDT® Super 7</w:t>
      </w:r>
    </w:p>
    <w:p w14:paraId="5C8C7AF4" w14:textId="77777777" w:rsidR="006C26FB" w:rsidRDefault="006C26FB" w:rsidP="006C26FB">
      <w:pPr>
        <w:pStyle w:val="Prrafodelista"/>
        <w:numPr>
          <w:ilvl w:val="0"/>
          <w:numId w:val="6"/>
        </w:numPr>
        <w:divId w:val="1363901656"/>
      </w:pPr>
      <w:r>
        <w:t>BRANDT® Super Wetter</w:t>
      </w:r>
    </w:p>
    <w:p w14:paraId="1455D2D0" w14:textId="77777777" w:rsidR="006C26FB" w:rsidRDefault="006C26FB" w:rsidP="006C26FB">
      <w:pPr>
        <w:pStyle w:val="Prrafodelista"/>
        <w:numPr>
          <w:ilvl w:val="0"/>
          <w:numId w:val="6"/>
        </w:numPr>
        <w:divId w:val="1363901656"/>
      </w:pPr>
      <w:r>
        <w:lastRenderedPageBreak/>
        <w:t>BRANDT® 719 Spreader</w:t>
      </w:r>
    </w:p>
    <w:p w14:paraId="4E88622C" w14:textId="77777777" w:rsidR="00BC15A9" w:rsidRPr="00920B10" w:rsidRDefault="005F3804" w:rsidP="00760605">
      <w:pPr>
        <w:divId w:val="161824007"/>
        <w:rPr>
          <w:rFonts w:ascii="Calibri" w:hAnsi="Calibri" w:cs="Calibri"/>
          <w:b/>
          <w:bCs/>
          <w:color w:val="ED3023"/>
          <w:sz w:val="32"/>
          <w:szCs w:val="32"/>
        </w:rPr>
      </w:pPr>
      <w:r w:rsidRPr="00920B10">
        <w:rPr>
          <w:rFonts w:ascii="Calibri" w:hAnsi="Calibri" w:cs="Calibri"/>
          <w:b/>
          <w:bCs/>
          <w:color w:val="ED3023"/>
          <w:sz w:val="32"/>
          <w:szCs w:val="32"/>
        </w:rPr>
        <w:t>Tecnología Manni-Plex®</w:t>
      </w:r>
    </w:p>
    <w:p w14:paraId="3EF4F0E6" w14:textId="7F308C1C" w:rsidR="00BC15A9" w:rsidRDefault="007D5B11" w:rsidP="00CC0D88">
      <w:pPr>
        <w:jc w:val="both"/>
        <w:divId w:val="161824007"/>
      </w:pPr>
      <w:r>
        <w:t>Manni-Plex®</w:t>
      </w:r>
      <w:r w:rsidR="005F3804">
        <w:t xml:space="preserve"> es una tecnología exclusiva diseñada para mejorar la absorción y la movilidad de los micronutrientes en la planta. Su formulación favorece la penetración foliar y la translocación de los nutrientes hacia los órganos con mayor demanda, como frutos, brotes, raíces e inflorescencias.</w:t>
      </w:r>
    </w:p>
    <w:p w14:paraId="1A525713" w14:textId="77777777" w:rsidR="00BC15A9" w:rsidRDefault="005F3804" w:rsidP="00CC0D88">
      <w:pPr>
        <w:jc w:val="both"/>
        <w:divId w:val="161824007"/>
      </w:pPr>
      <w:r>
        <w:t xml:space="preserve">La tecnología </w:t>
      </w:r>
      <w:r w:rsidR="0015675B">
        <w:t>incorpora</w:t>
      </w:r>
      <w:r>
        <w:t xml:space="preserve"> azúcares alcoholes o polioles</w:t>
      </w:r>
      <w:r w:rsidR="0015675B">
        <w:t xml:space="preserve"> </w:t>
      </w:r>
      <w:r>
        <w:t xml:space="preserve">que </w:t>
      </w:r>
      <w:r w:rsidR="0015675B">
        <w:t>favorecen</w:t>
      </w:r>
      <w:r>
        <w:t xml:space="preserve"> el transporte interno de nutrientes</w:t>
      </w:r>
      <w:r w:rsidR="0015675B">
        <w:t>. Estos compuestos contribuyen además</w:t>
      </w:r>
      <w:r>
        <w:t xml:space="preserve"> a la </w:t>
      </w:r>
      <w:r w:rsidR="0015675B">
        <w:t xml:space="preserve">protección osmótica y antioxidante de la </w:t>
      </w:r>
      <w:r>
        <w:t>planta</w:t>
      </w:r>
      <w:r w:rsidR="0015675B">
        <w:t>, ayudándola</w:t>
      </w:r>
      <w:r>
        <w:t xml:space="preserve"> a mantener el equilibrio hídrico y </w:t>
      </w:r>
      <w:r w:rsidR="0015675B">
        <w:t>la</w:t>
      </w:r>
      <w:r>
        <w:t xml:space="preserve"> actividad metabólica en situaciones de estrés.</w:t>
      </w:r>
    </w:p>
    <w:p w14:paraId="36CABA46" w14:textId="77777777" w:rsidR="00BC15A9" w:rsidRDefault="005F3804" w:rsidP="00262DCE">
      <w:pPr>
        <w:divId w:val="161824007"/>
      </w:pPr>
      <w:r>
        <w:t>Principales beneficios</w:t>
      </w:r>
    </w:p>
    <w:p w14:paraId="64264445" w14:textId="77777777" w:rsidR="006C26FB" w:rsidRDefault="006C26FB" w:rsidP="006C26FB">
      <w:pPr>
        <w:pStyle w:val="Prrafodelista"/>
        <w:numPr>
          <w:ilvl w:val="0"/>
          <w:numId w:val="8"/>
        </w:numPr>
        <w:divId w:val="1363901656"/>
      </w:pPr>
      <w:r>
        <w:t>Mayor penetración foliar de los nutrientes.</w:t>
      </w:r>
    </w:p>
    <w:p w14:paraId="2B15F039" w14:textId="77777777" w:rsidR="006C26FB" w:rsidRDefault="006C26FB" w:rsidP="006C26FB">
      <w:pPr>
        <w:pStyle w:val="Prrafodelista"/>
        <w:numPr>
          <w:ilvl w:val="0"/>
          <w:numId w:val="8"/>
        </w:numPr>
        <w:divId w:val="1363901656"/>
      </w:pPr>
      <w:r>
        <w:t>Mayor movilidad y disponibilidad dentro de la planta.</w:t>
      </w:r>
    </w:p>
    <w:p w14:paraId="03AD766E" w14:textId="77777777" w:rsidR="006C26FB" w:rsidRDefault="006C26FB" w:rsidP="006C26FB">
      <w:pPr>
        <w:pStyle w:val="Prrafodelista"/>
        <w:numPr>
          <w:ilvl w:val="0"/>
          <w:numId w:val="8"/>
        </w:numPr>
        <w:divId w:val="1363901656"/>
      </w:pPr>
      <w:r>
        <w:t>Transporte dirigido hacia los puntos de crecimiento y producción.</w:t>
      </w:r>
    </w:p>
    <w:p w14:paraId="30A50485" w14:textId="77777777" w:rsidR="006C26FB" w:rsidRDefault="006C26FB" w:rsidP="006C26FB">
      <w:pPr>
        <w:pStyle w:val="Prrafodelista"/>
        <w:numPr>
          <w:ilvl w:val="0"/>
          <w:numId w:val="8"/>
        </w:numPr>
        <w:divId w:val="1363901656"/>
      </w:pPr>
      <w:r>
        <w:t>Respuesta nutricional más rápida.</w:t>
      </w:r>
    </w:p>
    <w:p w14:paraId="45AB42C0" w14:textId="77777777" w:rsidR="006C26FB" w:rsidRDefault="006C26FB" w:rsidP="006C26FB">
      <w:pPr>
        <w:pStyle w:val="Prrafodelista"/>
        <w:numPr>
          <w:ilvl w:val="0"/>
          <w:numId w:val="8"/>
        </w:numPr>
        <w:divId w:val="1363901656"/>
      </w:pPr>
      <w:r>
        <w:t>Mejora de la fotosíntesis y del metabolismo vegetal.</w:t>
      </w:r>
    </w:p>
    <w:p w14:paraId="562C90D2" w14:textId="77777777" w:rsidR="006C26FB" w:rsidRDefault="006C26FB" w:rsidP="006C26FB">
      <w:pPr>
        <w:pStyle w:val="Prrafodelista"/>
        <w:numPr>
          <w:ilvl w:val="0"/>
          <w:numId w:val="8"/>
        </w:numPr>
        <w:divId w:val="1363901656"/>
      </w:pPr>
      <w:r>
        <w:t>Apoyo a la planta frente a condiciones de sequía, salinidad y temperaturas extremas.</w:t>
      </w:r>
    </w:p>
    <w:p w14:paraId="14561071" w14:textId="63A39389" w:rsidR="00ED0403" w:rsidRDefault="00ED0403" w:rsidP="00ED0403">
      <w:pPr>
        <w:divId w:val="1363901656"/>
      </w:pPr>
      <w:r>
        <w:rPr>
          <w:b/>
          <w:bCs/>
          <w:color w:val="ED3023"/>
          <w:sz w:val="32"/>
          <w:szCs w:val="32"/>
        </w:rPr>
        <w:t xml:space="preserve">Otras sedes de BRANDT </w:t>
      </w:r>
    </w:p>
    <w:p w14:paraId="693F3D24" w14:textId="77777777" w:rsidR="0001594B" w:rsidRDefault="00716377" w:rsidP="0001594B">
      <w:pPr>
        <w:jc w:val="both"/>
        <w:divId w:val="1363901656"/>
      </w:pPr>
      <w:r>
        <w:t xml:space="preserve">La estructura internacional de la compañía se completa con sedes estratégicas en distintos mercados. </w:t>
      </w:r>
    </w:p>
    <w:p w14:paraId="34120476" w14:textId="4298213F" w:rsidR="00433D5C" w:rsidRDefault="00716377" w:rsidP="0001594B">
      <w:pPr>
        <w:jc w:val="both"/>
        <w:divId w:val="1363901656"/>
      </w:pPr>
      <w:r>
        <w:rPr>
          <w:b/>
          <w:bCs/>
        </w:rPr>
        <w:t>BRANDT Brasil</w:t>
      </w:r>
      <w:r>
        <w:t xml:space="preserve"> es una de las </w:t>
      </w:r>
      <w:r w:rsidR="0001594B">
        <w:t>filiales</w:t>
      </w:r>
      <w:r>
        <w:t xml:space="preserve"> más importantes de la corporación estadounidense. Desde su establecimiento en el país en 2015, la división brasileña ha experimentado una rápida expansión hasta consolidarse como un referente en tecnología agrícola, bioestimulación, fisiología vegetal y bioprotección para el mercado sudamericano. </w:t>
      </w:r>
    </w:p>
    <w:p w14:paraId="32022D20" w14:textId="77777777" w:rsidR="00B664AE" w:rsidRDefault="008C5EEF" w:rsidP="0001594B">
      <w:pPr>
        <w:jc w:val="both"/>
        <w:divId w:val="1363901656"/>
      </w:pPr>
      <w:r>
        <w:t xml:space="preserve">La creación de </w:t>
      </w:r>
      <w:r>
        <w:rPr>
          <w:b/>
          <w:bCs/>
        </w:rPr>
        <w:t>BRANDT África</w:t>
      </w:r>
      <w:r>
        <w:t xml:space="preserve"> a finales de 2025 representa, por su parte, uno de los hitos de internacionalización más ambiciosos de la historia reciente de la compañía. Tras consolidar sus operaciones industriales en Brasil, en 2015, y en Europa, en 2016, BRANDT estableció en Sudáfrica su plataforma central de producción y distribución para dar cobertura al conjunto del continente africano. </w:t>
      </w:r>
    </w:p>
    <w:p w14:paraId="7F7F9031" w14:textId="34FEE774" w:rsidR="00716377" w:rsidRDefault="00716377" w:rsidP="0001594B">
      <w:pPr>
        <w:jc w:val="both"/>
        <w:divId w:val="1363901656"/>
      </w:pPr>
      <w:r>
        <w:t xml:space="preserve">A </w:t>
      </w:r>
      <w:r w:rsidR="008C5EEF">
        <w:t>estas sedes</w:t>
      </w:r>
      <w:r>
        <w:t xml:space="preserve"> se suma la reciente incorporación de </w:t>
      </w:r>
      <w:r>
        <w:rPr>
          <w:b/>
          <w:bCs/>
        </w:rPr>
        <w:t>BRANDT Altiara México</w:t>
      </w:r>
      <w:r>
        <w:t xml:space="preserve">, que amplía la capacidad de la compañía para atender el mercado mexicano y </w:t>
      </w:r>
      <w:r w:rsidR="008C5EEF">
        <w:t>reforzar</w:t>
      </w:r>
      <w:r>
        <w:t xml:space="preserve"> su posicionamiento en América Latina.</w:t>
      </w:r>
    </w:p>
    <w:p w14:paraId="6E4F5216" w14:textId="4496DBDC" w:rsidR="00716377" w:rsidRDefault="00400DDA" w:rsidP="0001594B">
      <w:pPr>
        <w:jc w:val="both"/>
        <w:divId w:val="1363901656"/>
      </w:pPr>
      <w:r>
        <w:t xml:space="preserve">Con su sede principal en Estados Unidos y sus sedes en Europa, Brasil, África y México, </w:t>
      </w:r>
      <w:r w:rsidRPr="00400DDA">
        <w:rPr>
          <w:b/>
          <w:bCs/>
        </w:rPr>
        <w:t>BRANDT opera actualmente en los cinco continentes</w:t>
      </w:r>
      <w:r>
        <w:t>, consolidando una estructura internacional desde la que atiende las necesidades de los principales mercados agrícolas del mundo.</w:t>
      </w:r>
    </w:p>
    <w:sectPr w:rsidR="00716377">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AB182" w14:textId="77777777" w:rsidR="003B547F" w:rsidRDefault="003B547F" w:rsidP="00273519">
      <w:pPr>
        <w:spacing w:after="0" w:line="240" w:lineRule="auto"/>
      </w:pPr>
      <w:r>
        <w:separator/>
      </w:r>
    </w:p>
  </w:endnote>
  <w:endnote w:type="continuationSeparator" w:id="0">
    <w:p w14:paraId="43889310" w14:textId="77777777" w:rsidR="003B547F" w:rsidRDefault="003B547F" w:rsidP="0027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E3C9" w14:textId="77777777" w:rsidR="007D170F" w:rsidRDefault="007D170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3CDF" w14:textId="1E3B2908" w:rsidR="00273519" w:rsidRPr="00A74B8F" w:rsidRDefault="00A74B8F">
    <w:pPr>
      <w:pStyle w:val="Piedepgina"/>
      <w:rPr>
        <w:sz w:val="20"/>
        <w:szCs w:val="20"/>
      </w:rPr>
    </w:pPr>
    <w:r w:rsidRPr="00A74B8F">
      <w:rPr>
        <w:b/>
        <w:bCs/>
        <w:noProof/>
        <w:sz w:val="20"/>
        <w:szCs w:val="20"/>
      </w:rPr>
      <w:t>BRANDT Europe</w:t>
    </w:r>
    <w:r w:rsidR="003265E6">
      <w:rPr>
        <w:b/>
        <w:bCs/>
        <w:noProof/>
        <w:sz w:val="20"/>
        <w:szCs w:val="20"/>
      </w:rPr>
      <w:t xml:space="preserve"> S.L.</w:t>
    </w:r>
    <w:r w:rsidRPr="00A74B8F">
      <w:rPr>
        <w:noProof/>
        <w:sz w:val="20"/>
        <w:szCs w:val="20"/>
      </w:rPr>
      <w:t xml:space="preserve"> - Ctra. Carmona, Calle Ctra. de Guadajoz, Km 3, 1, 41410 Carmona, Sevilla (SPAIN)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D0A3" w14:textId="77777777" w:rsidR="007D170F" w:rsidRDefault="007D17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9D8D3" w14:textId="77777777" w:rsidR="003B547F" w:rsidRDefault="003B547F" w:rsidP="00273519">
      <w:pPr>
        <w:spacing w:after="0" w:line="240" w:lineRule="auto"/>
      </w:pPr>
      <w:r>
        <w:separator/>
      </w:r>
    </w:p>
  </w:footnote>
  <w:footnote w:type="continuationSeparator" w:id="0">
    <w:p w14:paraId="511AC13F" w14:textId="77777777" w:rsidR="003B547F" w:rsidRDefault="003B547F" w:rsidP="00273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16EF" w14:textId="77777777" w:rsidR="007D170F" w:rsidRDefault="007D170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C875" w14:textId="77777777" w:rsidR="007D170F" w:rsidRDefault="007D170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CAD3" w14:textId="77777777" w:rsidR="007D170F" w:rsidRDefault="007D170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2E1"/>
    <w:multiLevelType w:val="multilevel"/>
    <w:tmpl w:val="F9B2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A3606"/>
    <w:multiLevelType w:val="hybridMultilevel"/>
    <w:tmpl w:val="79E265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2A94D8"/>
    <w:multiLevelType w:val="hybridMultilevel"/>
    <w:tmpl w:val="FFFFFFFF"/>
    <w:lvl w:ilvl="0" w:tplc="6C149288">
      <w:start w:val="1"/>
      <w:numFmt w:val="bullet"/>
      <w:lvlText w:val=""/>
      <w:lvlJc w:val="left"/>
      <w:pPr>
        <w:ind w:left="720" w:hanging="360"/>
      </w:pPr>
      <w:rPr>
        <w:rFonts w:ascii="Symbol" w:hAnsi="Symbol" w:hint="default"/>
      </w:rPr>
    </w:lvl>
    <w:lvl w:ilvl="1" w:tplc="F89C2F86">
      <w:start w:val="1"/>
      <w:numFmt w:val="bullet"/>
      <w:lvlText w:val="o"/>
      <w:lvlJc w:val="left"/>
      <w:pPr>
        <w:ind w:left="1440" w:hanging="360"/>
      </w:pPr>
      <w:rPr>
        <w:rFonts w:ascii="Courier New" w:hAnsi="Courier New" w:hint="default"/>
      </w:rPr>
    </w:lvl>
    <w:lvl w:ilvl="2" w:tplc="8B6888F6">
      <w:start w:val="1"/>
      <w:numFmt w:val="bullet"/>
      <w:lvlText w:val=""/>
      <w:lvlJc w:val="left"/>
      <w:pPr>
        <w:ind w:left="2160" w:hanging="360"/>
      </w:pPr>
      <w:rPr>
        <w:rFonts w:ascii="Wingdings" w:hAnsi="Wingdings" w:hint="default"/>
      </w:rPr>
    </w:lvl>
    <w:lvl w:ilvl="3" w:tplc="C0CAA862">
      <w:start w:val="1"/>
      <w:numFmt w:val="bullet"/>
      <w:lvlText w:val=""/>
      <w:lvlJc w:val="left"/>
      <w:pPr>
        <w:ind w:left="2880" w:hanging="360"/>
      </w:pPr>
      <w:rPr>
        <w:rFonts w:ascii="Symbol" w:hAnsi="Symbol" w:hint="default"/>
      </w:rPr>
    </w:lvl>
    <w:lvl w:ilvl="4" w:tplc="6CCA02B0">
      <w:start w:val="1"/>
      <w:numFmt w:val="bullet"/>
      <w:lvlText w:val="o"/>
      <w:lvlJc w:val="left"/>
      <w:pPr>
        <w:ind w:left="3600" w:hanging="360"/>
      </w:pPr>
      <w:rPr>
        <w:rFonts w:ascii="Courier New" w:hAnsi="Courier New" w:hint="default"/>
      </w:rPr>
    </w:lvl>
    <w:lvl w:ilvl="5" w:tplc="5BF4FF14">
      <w:start w:val="1"/>
      <w:numFmt w:val="bullet"/>
      <w:lvlText w:val=""/>
      <w:lvlJc w:val="left"/>
      <w:pPr>
        <w:ind w:left="4320" w:hanging="360"/>
      </w:pPr>
      <w:rPr>
        <w:rFonts w:ascii="Wingdings" w:hAnsi="Wingdings" w:hint="default"/>
      </w:rPr>
    </w:lvl>
    <w:lvl w:ilvl="6" w:tplc="3B56B3B2">
      <w:start w:val="1"/>
      <w:numFmt w:val="bullet"/>
      <w:lvlText w:val=""/>
      <w:lvlJc w:val="left"/>
      <w:pPr>
        <w:ind w:left="5040" w:hanging="360"/>
      </w:pPr>
      <w:rPr>
        <w:rFonts w:ascii="Symbol" w:hAnsi="Symbol" w:hint="default"/>
      </w:rPr>
    </w:lvl>
    <w:lvl w:ilvl="7" w:tplc="600C27D0">
      <w:start w:val="1"/>
      <w:numFmt w:val="bullet"/>
      <w:lvlText w:val="o"/>
      <w:lvlJc w:val="left"/>
      <w:pPr>
        <w:ind w:left="5760" w:hanging="360"/>
      </w:pPr>
      <w:rPr>
        <w:rFonts w:ascii="Courier New" w:hAnsi="Courier New" w:hint="default"/>
      </w:rPr>
    </w:lvl>
    <w:lvl w:ilvl="8" w:tplc="BB5AFA2C">
      <w:start w:val="1"/>
      <w:numFmt w:val="bullet"/>
      <w:lvlText w:val=""/>
      <w:lvlJc w:val="left"/>
      <w:pPr>
        <w:ind w:left="6480" w:hanging="360"/>
      </w:pPr>
      <w:rPr>
        <w:rFonts w:ascii="Wingdings" w:hAnsi="Wingdings" w:hint="default"/>
      </w:rPr>
    </w:lvl>
  </w:abstractNum>
  <w:abstractNum w:abstractNumId="3" w15:restartNumberingAfterBreak="0">
    <w:nsid w:val="3DD546C8"/>
    <w:multiLevelType w:val="hybridMultilevel"/>
    <w:tmpl w:val="6E0C5F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6607AF4"/>
    <w:multiLevelType w:val="multilevel"/>
    <w:tmpl w:val="63F6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A219D3"/>
    <w:multiLevelType w:val="multilevel"/>
    <w:tmpl w:val="E4AC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8F3DBA"/>
    <w:multiLevelType w:val="multilevel"/>
    <w:tmpl w:val="82AE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8A087B"/>
    <w:multiLevelType w:val="multilevel"/>
    <w:tmpl w:val="0190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2885540">
    <w:abstractNumId w:val="2"/>
  </w:num>
  <w:num w:numId="2" w16cid:durableId="573782620">
    <w:abstractNumId w:val="1"/>
  </w:num>
  <w:num w:numId="3" w16cid:durableId="1896818561">
    <w:abstractNumId w:val="3"/>
  </w:num>
  <w:num w:numId="4" w16cid:durableId="514618649">
    <w:abstractNumId w:val="6"/>
  </w:num>
  <w:num w:numId="5" w16cid:durableId="845945520">
    <w:abstractNumId w:val="7"/>
  </w:num>
  <w:num w:numId="6" w16cid:durableId="1442185677">
    <w:abstractNumId w:val="4"/>
  </w:num>
  <w:num w:numId="7" w16cid:durableId="1024793949">
    <w:abstractNumId w:val="0"/>
  </w:num>
  <w:num w:numId="8" w16cid:durableId="967466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519"/>
    <w:rsid w:val="00007EDF"/>
    <w:rsid w:val="000137DB"/>
    <w:rsid w:val="0001594B"/>
    <w:rsid w:val="000160A4"/>
    <w:rsid w:val="00050279"/>
    <w:rsid w:val="00057636"/>
    <w:rsid w:val="000649D7"/>
    <w:rsid w:val="00083307"/>
    <w:rsid w:val="000D03E1"/>
    <w:rsid w:val="000F466E"/>
    <w:rsid w:val="00122292"/>
    <w:rsid w:val="001274B4"/>
    <w:rsid w:val="00145502"/>
    <w:rsid w:val="00155906"/>
    <w:rsid w:val="0015675B"/>
    <w:rsid w:val="00170483"/>
    <w:rsid w:val="00170A1F"/>
    <w:rsid w:val="00182C27"/>
    <w:rsid w:val="001A160F"/>
    <w:rsid w:val="001A4FAC"/>
    <w:rsid w:val="001D2094"/>
    <w:rsid w:val="001F2DFA"/>
    <w:rsid w:val="00213E07"/>
    <w:rsid w:val="00214D49"/>
    <w:rsid w:val="00251198"/>
    <w:rsid w:val="00260C16"/>
    <w:rsid w:val="00263B7B"/>
    <w:rsid w:val="002643A3"/>
    <w:rsid w:val="00265135"/>
    <w:rsid w:val="002711DB"/>
    <w:rsid w:val="00273519"/>
    <w:rsid w:val="00282424"/>
    <w:rsid w:val="00290242"/>
    <w:rsid w:val="002C52CA"/>
    <w:rsid w:val="002C600D"/>
    <w:rsid w:val="002D028A"/>
    <w:rsid w:val="002D19D3"/>
    <w:rsid w:val="002D229D"/>
    <w:rsid w:val="002D6CA1"/>
    <w:rsid w:val="002F2D9D"/>
    <w:rsid w:val="003265E6"/>
    <w:rsid w:val="0033498B"/>
    <w:rsid w:val="00343B7D"/>
    <w:rsid w:val="00373C9D"/>
    <w:rsid w:val="003740D9"/>
    <w:rsid w:val="003813E7"/>
    <w:rsid w:val="00394391"/>
    <w:rsid w:val="003A1607"/>
    <w:rsid w:val="003B547F"/>
    <w:rsid w:val="003C0C29"/>
    <w:rsid w:val="003C25B8"/>
    <w:rsid w:val="003D1758"/>
    <w:rsid w:val="003D2931"/>
    <w:rsid w:val="00400DDA"/>
    <w:rsid w:val="004105BB"/>
    <w:rsid w:val="00424F47"/>
    <w:rsid w:val="0042601C"/>
    <w:rsid w:val="004333E0"/>
    <w:rsid w:val="00433D5C"/>
    <w:rsid w:val="00450558"/>
    <w:rsid w:val="00456F94"/>
    <w:rsid w:val="004B50CF"/>
    <w:rsid w:val="004D16CD"/>
    <w:rsid w:val="004E7F84"/>
    <w:rsid w:val="00505168"/>
    <w:rsid w:val="00553957"/>
    <w:rsid w:val="00564596"/>
    <w:rsid w:val="0057796C"/>
    <w:rsid w:val="00582768"/>
    <w:rsid w:val="005963AA"/>
    <w:rsid w:val="005A0F37"/>
    <w:rsid w:val="005A57DB"/>
    <w:rsid w:val="005B4B2E"/>
    <w:rsid w:val="005C0664"/>
    <w:rsid w:val="005F3804"/>
    <w:rsid w:val="00666392"/>
    <w:rsid w:val="00672FE6"/>
    <w:rsid w:val="006C0F76"/>
    <w:rsid w:val="006C26FB"/>
    <w:rsid w:val="006C2DD2"/>
    <w:rsid w:val="006D704A"/>
    <w:rsid w:val="006E23D3"/>
    <w:rsid w:val="006E728D"/>
    <w:rsid w:val="00716377"/>
    <w:rsid w:val="00716A47"/>
    <w:rsid w:val="0075519C"/>
    <w:rsid w:val="00775699"/>
    <w:rsid w:val="00797563"/>
    <w:rsid w:val="007A45D8"/>
    <w:rsid w:val="007C06EA"/>
    <w:rsid w:val="007D170F"/>
    <w:rsid w:val="007D211B"/>
    <w:rsid w:val="007D5B11"/>
    <w:rsid w:val="007E1022"/>
    <w:rsid w:val="007E4676"/>
    <w:rsid w:val="007F2913"/>
    <w:rsid w:val="007F4C4B"/>
    <w:rsid w:val="007F6710"/>
    <w:rsid w:val="0080077D"/>
    <w:rsid w:val="00823DF8"/>
    <w:rsid w:val="008360CB"/>
    <w:rsid w:val="008440FA"/>
    <w:rsid w:val="00862DC4"/>
    <w:rsid w:val="00866762"/>
    <w:rsid w:val="00866A2F"/>
    <w:rsid w:val="00874453"/>
    <w:rsid w:val="008B3C95"/>
    <w:rsid w:val="008C2FDE"/>
    <w:rsid w:val="008C5EEF"/>
    <w:rsid w:val="008E0637"/>
    <w:rsid w:val="008F7BB1"/>
    <w:rsid w:val="009150CB"/>
    <w:rsid w:val="00920B10"/>
    <w:rsid w:val="009218C8"/>
    <w:rsid w:val="00924E1A"/>
    <w:rsid w:val="00925984"/>
    <w:rsid w:val="00935D6B"/>
    <w:rsid w:val="00940C36"/>
    <w:rsid w:val="00953CB6"/>
    <w:rsid w:val="009715A7"/>
    <w:rsid w:val="009870F6"/>
    <w:rsid w:val="009A20EF"/>
    <w:rsid w:val="009A5304"/>
    <w:rsid w:val="009A6D4D"/>
    <w:rsid w:val="00A10DC9"/>
    <w:rsid w:val="00A1371D"/>
    <w:rsid w:val="00A255E6"/>
    <w:rsid w:val="00A33FBF"/>
    <w:rsid w:val="00A449A2"/>
    <w:rsid w:val="00A74B8F"/>
    <w:rsid w:val="00AA76CA"/>
    <w:rsid w:val="00AC134C"/>
    <w:rsid w:val="00AC6F2B"/>
    <w:rsid w:val="00AD78F8"/>
    <w:rsid w:val="00AE1F3B"/>
    <w:rsid w:val="00AE74C0"/>
    <w:rsid w:val="00AE7D5F"/>
    <w:rsid w:val="00AF1A73"/>
    <w:rsid w:val="00AF4866"/>
    <w:rsid w:val="00B63F13"/>
    <w:rsid w:val="00B664AE"/>
    <w:rsid w:val="00B748D0"/>
    <w:rsid w:val="00B758C0"/>
    <w:rsid w:val="00BA52CE"/>
    <w:rsid w:val="00BC15A9"/>
    <w:rsid w:val="00BC5F6E"/>
    <w:rsid w:val="00BD23E7"/>
    <w:rsid w:val="00BE0916"/>
    <w:rsid w:val="00BE4158"/>
    <w:rsid w:val="00C75737"/>
    <w:rsid w:val="00C9003D"/>
    <w:rsid w:val="00CB517F"/>
    <w:rsid w:val="00CC0D88"/>
    <w:rsid w:val="00CC4427"/>
    <w:rsid w:val="00CD5491"/>
    <w:rsid w:val="00D060FE"/>
    <w:rsid w:val="00D15741"/>
    <w:rsid w:val="00D30FBC"/>
    <w:rsid w:val="00D70F03"/>
    <w:rsid w:val="00D94962"/>
    <w:rsid w:val="00DB23D6"/>
    <w:rsid w:val="00DD007F"/>
    <w:rsid w:val="00DE1E22"/>
    <w:rsid w:val="00DF61C4"/>
    <w:rsid w:val="00E1008F"/>
    <w:rsid w:val="00E32CC6"/>
    <w:rsid w:val="00E3456F"/>
    <w:rsid w:val="00E51567"/>
    <w:rsid w:val="00E64024"/>
    <w:rsid w:val="00E715AC"/>
    <w:rsid w:val="00E85F1C"/>
    <w:rsid w:val="00ED0191"/>
    <w:rsid w:val="00ED0403"/>
    <w:rsid w:val="00ED75CE"/>
    <w:rsid w:val="00EE6C17"/>
    <w:rsid w:val="00EE6F25"/>
    <w:rsid w:val="00F42A01"/>
    <w:rsid w:val="00F436B9"/>
    <w:rsid w:val="00F56CD8"/>
    <w:rsid w:val="00F74F81"/>
    <w:rsid w:val="00F9230B"/>
    <w:rsid w:val="00FB3355"/>
    <w:rsid w:val="00FB4635"/>
    <w:rsid w:val="00FB5126"/>
    <w:rsid w:val="00FD2A4B"/>
    <w:rsid w:val="00FD594F"/>
    <w:rsid w:val="082C70FA"/>
    <w:rsid w:val="11AC42E8"/>
    <w:rsid w:val="1BC72489"/>
    <w:rsid w:val="6DDC63D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4885"/>
  <w15:chartTrackingRefBased/>
  <w15:docId w15:val="{D74E3A38-5D5F-4FFE-A2F4-D88353D7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735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2735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735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735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735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735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35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35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35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11AC42E8"/>
    <w:rPr>
      <w:rFonts w:asciiTheme="majorHAnsi" w:eastAsiaTheme="majorEastAsia" w:hAnsiTheme="majorHAnsi" w:cstheme="majorBidi"/>
      <w:color w:val="2F5496" w:themeColor="accent1" w:themeShade="BF"/>
      <w:sz w:val="40"/>
      <w:szCs w:val="40"/>
    </w:rPr>
  </w:style>
  <w:style w:type="character" w:customStyle="1" w:styleId="Ttulo2Car">
    <w:name w:val="Título 2 Car"/>
    <w:link w:val="Ttulo2"/>
    <w:uiPriority w:val="9"/>
    <w:semiHidden/>
    <w:rsid w:val="11AC42E8"/>
    <w:rPr>
      <w:rFonts w:asciiTheme="majorHAnsi" w:eastAsiaTheme="majorEastAsia" w:hAnsiTheme="majorHAnsi" w:cstheme="majorBidi"/>
      <w:color w:val="2F5496" w:themeColor="accent1" w:themeShade="BF"/>
      <w:sz w:val="32"/>
      <w:szCs w:val="32"/>
    </w:rPr>
  </w:style>
  <w:style w:type="character" w:customStyle="1" w:styleId="Ttulo3Car">
    <w:name w:val="Título 3 Car"/>
    <w:link w:val="Ttulo3"/>
    <w:uiPriority w:val="9"/>
    <w:semiHidden/>
    <w:rsid w:val="11AC42E8"/>
    <w:rPr>
      <w:rFonts w:eastAsiaTheme="majorEastAsia" w:cstheme="majorBidi"/>
      <w:color w:val="2F5496" w:themeColor="accent1" w:themeShade="BF"/>
      <w:sz w:val="28"/>
      <w:szCs w:val="28"/>
    </w:rPr>
  </w:style>
  <w:style w:type="character" w:customStyle="1" w:styleId="Ttulo4Car">
    <w:name w:val="Título 4 Car"/>
    <w:link w:val="Ttulo4"/>
    <w:uiPriority w:val="9"/>
    <w:semiHidden/>
    <w:rsid w:val="11AC42E8"/>
    <w:rPr>
      <w:rFonts w:eastAsiaTheme="majorEastAsia" w:cstheme="majorBidi"/>
      <w:i/>
      <w:iCs/>
      <w:color w:val="2F5496" w:themeColor="accent1" w:themeShade="BF"/>
    </w:rPr>
  </w:style>
  <w:style w:type="character" w:customStyle="1" w:styleId="Ttulo5Car">
    <w:name w:val="Título 5 Car"/>
    <w:link w:val="Ttulo5"/>
    <w:uiPriority w:val="9"/>
    <w:semiHidden/>
    <w:rsid w:val="11AC42E8"/>
    <w:rPr>
      <w:rFonts w:eastAsiaTheme="majorEastAsia" w:cstheme="majorBidi"/>
      <w:color w:val="2F5496" w:themeColor="accent1" w:themeShade="BF"/>
    </w:rPr>
  </w:style>
  <w:style w:type="character" w:customStyle="1" w:styleId="Ttulo6Car">
    <w:name w:val="Título 6 Car"/>
    <w:link w:val="Ttulo6"/>
    <w:uiPriority w:val="9"/>
    <w:semiHidden/>
    <w:rsid w:val="11AC42E8"/>
    <w:rPr>
      <w:rFonts w:eastAsiaTheme="majorEastAsia" w:cstheme="majorBidi"/>
      <w:i/>
      <w:iCs/>
      <w:color w:val="595959" w:themeColor="text1" w:themeTint="A6"/>
    </w:rPr>
  </w:style>
  <w:style w:type="character" w:customStyle="1" w:styleId="Ttulo7Car">
    <w:name w:val="Título 7 Car"/>
    <w:link w:val="Ttulo7"/>
    <w:uiPriority w:val="9"/>
    <w:semiHidden/>
    <w:rsid w:val="11AC42E8"/>
    <w:rPr>
      <w:rFonts w:eastAsiaTheme="majorEastAsia" w:cstheme="majorBidi"/>
      <w:color w:val="595959" w:themeColor="text1" w:themeTint="A6"/>
    </w:rPr>
  </w:style>
  <w:style w:type="character" w:customStyle="1" w:styleId="Ttulo8Car">
    <w:name w:val="Título 8 Car"/>
    <w:link w:val="Ttulo8"/>
    <w:uiPriority w:val="9"/>
    <w:semiHidden/>
    <w:rsid w:val="11AC42E8"/>
    <w:rPr>
      <w:rFonts w:eastAsiaTheme="majorEastAsia" w:cstheme="majorBidi"/>
      <w:i/>
      <w:iCs/>
      <w:color w:val="272727"/>
    </w:rPr>
  </w:style>
  <w:style w:type="character" w:customStyle="1" w:styleId="Ttulo9Car">
    <w:name w:val="Título 9 Car"/>
    <w:link w:val="Ttulo9"/>
    <w:uiPriority w:val="9"/>
    <w:semiHidden/>
    <w:rsid w:val="11AC42E8"/>
    <w:rPr>
      <w:rFonts w:eastAsiaTheme="majorEastAsia" w:cstheme="majorBidi"/>
      <w:color w:val="272727"/>
    </w:rPr>
  </w:style>
  <w:style w:type="paragraph" w:styleId="Ttulo">
    <w:name w:val="Title"/>
    <w:basedOn w:val="Normal"/>
    <w:next w:val="Normal"/>
    <w:link w:val="TtuloCar"/>
    <w:uiPriority w:val="10"/>
    <w:qFormat/>
    <w:rsid w:val="00273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11AC42E8"/>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002735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link w:val="Subttulo"/>
    <w:uiPriority w:val="11"/>
    <w:rsid w:val="11AC42E8"/>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273519"/>
    <w:pPr>
      <w:spacing w:before="160"/>
      <w:jc w:val="center"/>
    </w:pPr>
    <w:rPr>
      <w:i/>
      <w:iCs/>
      <w:color w:val="404040" w:themeColor="text1" w:themeTint="BF"/>
    </w:rPr>
  </w:style>
  <w:style w:type="character" w:customStyle="1" w:styleId="CitaCar">
    <w:name w:val="Cita Car"/>
    <w:link w:val="Cita"/>
    <w:uiPriority w:val="29"/>
    <w:rsid w:val="11AC42E8"/>
    <w:rPr>
      <w:i/>
      <w:iCs/>
      <w:color w:val="404040" w:themeColor="text1" w:themeTint="BF"/>
    </w:rPr>
  </w:style>
  <w:style w:type="paragraph" w:styleId="Prrafodelista">
    <w:name w:val="List Paragraph"/>
    <w:basedOn w:val="Normal"/>
    <w:uiPriority w:val="34"/>
    <w:qFormat/>
    <w:rsid w:val="00273519"/>
    <w:pPr>
      <w:ind w:left="720"/>
      <w:contextualSpacing/>
    </w:pPr>
  </w:style>
  <w:style w:type="character" w:styleId="nfasisintenso">
    <w:name w:val="Intense Emphasis"/>
    <w:uiPriority w:val="21"/>
    <w:qFormat/>
    <w:rsid w:val="11AC42E8"/>
    <w:rPr>
      <w:i/>
      <w:iCs/>
      <w:color w:val="2F5496" w:themeColor="accent1" w:themeShade="BF"/>
    </w:rPr>
  </w:style>
  <w:style w:type="paragraph" w:styleId="Citadestacada">
    <w:name w:val="Intense Quote"/>
    <w:basedOn w:val="Normal"/>
    <w:next w:val="Normal"/>
    <w:link w:val="CitadestacadaCar"/>
    <w:uiPriority w:val="30"/>
    <w:qFormat/>
    <w:rsid w:val="00273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link w:val="Citadestacada"/>
    <w:uiPriority w:val="30"/>
    <w:rsid w:val="11AC42E8"/>
    <w:rPr>
      <w:i/>
      <w:iCs/>
      <w:color w:val="2F5496" w:themeColor="accent1" w:themeShade="BF"/>
    </w:rPr>
  </w:style>
  <w:style w:type="character" w:styleId="Referenciaintensa">
    <w:name w:val="Intense Reference"/>
    <w:uiPriority w:val="32"/>
    <w:qFormat/>
    <w:rsid w:val="11AC42E8"/>
    <w:rPr>
      <w:b/>
      <w:bCs/>
      <w:smallCaps/>
      <w:color w:val="2F5496" w:themeColor="accent1" w:themeShade="BF"/>
    </w:rPr>
  </w:style>
  <w:style w:type="paragraph" w:styleId="Encabezado">
    <w:name w:val="header"/>
    <w:basedOn w:val="Normal"/>
    <w:link w:val="EncabezadoCar"/>
    <w:uiPriority w:val="99"/>
    <w:unhideWhenUsed/>
    <w:rsid w:val="00273519"/>
    <w:pPr>
      <w:tabs>
        <w:tab w:val="center" w:pos="4252"/>
        <w:tab w:val="right" w:pos="8504"/>
      </w:tabs>
      <w:spacing w:after="0" w:line="240" w:lineRule="auto"/>
    </w:pPr>
  </w:style>
  <w:style w:type="character" w:customStyle="1" w:styleId="EncabezadoCar">
    <w:name w:val="Encabezado Car"/>
    <w:link w:val="Encabezado"/>
    <w:uiPriority w:val="99"/>
    <w:rsid w:val="11AC42E8"/>
  </w:style>
  <w:style w:type="paragraph" w:styleId="Piedepgina">
    <w:name w:val="footer"/>
    <w:basedOn w:val="Normal"/>
    <w:link w:val="PiedepginaCar"/>
    <w:uiPriority w:val="99"/>
    <w:unhideWhenUsed/>
    <w:rsid w:val="00273519"/>
    <w:pPr>
      <w:tabs>
        <w:tab w:val="center" w:pos="4252"/>
        <w:tab w:val="right" w:pos="8504"/>
      </w:tabs>
      <w:spacing w:after="0" w:line="240" w:lineRule="auto"/>
    </w:pPr>
  </w:style>
  <w:style w:type="character" w:customStyle="1" w:styleId="PiedepginaCar">
    <w:name w:val="Pie de página Car"/>
    <w:link w:val="Piedepgina"/>
    <w:uiPriority w:val="99"/>
    <w:rsid w:val="11AC42E8"/>
  </w:style>
  <w:style w:type="character" w:styleId="Hipervnculo">
    <w:name w:val="Hyperlink"/>
    <w:uiPriority w:val="99"/>
    <w:unhideWhenUsed/>
    <w:rsid w:val="11AC42E8"/>
    <w:rPr>
      <w:color w:val="0563C1"/>
      <w:u w:val="single"/>
    </w:rPr>
  </w:style>
  <w:style w:type="character" w:styleId="Mencinsinresolver">
    <w:name w:val="Unresolved Mention"/>
    <w:basedOn w:val="Fuentedeprrafopredeter"/>
    <w:uiPriority w:val="99"/>
    <w:semiHidden/>
    <w:unhideWhenUsed/>
    <w:rsid w:val="00A74B8F"/>
    <w:rPr>
      <w:color w:val="605E5C"/>
      <w:shd w:val="clear" w:color="auto" w:fill="E1DFDD"/>
    </w:rPr>
  </w:style>
  <w:style w:type="paragraph" w:styleId="NormalWeb">
    <w:name w:val="Normal (Web)"/>
    <w:basedOn w:val="Normal"/>
    <w:uiPriority w:val="99"/>
    <w:semiHidden/>
    <w:unhideWhenUsed/>
    <w:rsid w:val="007D170F"/>
    <w:pPr>
      <w:spacing w:before="100" w:beforeAutospacing="1" w:after="100" w:afterAutospacing="1" w:line="240" w:lineRule="auto"/>
    </w:pPr>
    <w:rPr>
      <w:rFonts w:ascii="Times New Roman" w:hAnsi="Times New Roman" w:cs="Times New Roman"/>
      <w:kern w:val="2"/>
      <w:sz w:val="24"/>
      <w:szCs w:val="24"/>
      <w:lang w:eastAsia="es-ES"/>
      <w14:ligatures w14:val="standardContextual"/>
    </w:rPr>
  </w:style>
  <w:style w:type="paragraph" w:customStyle="1" w:styleId="Ttulo10">
    <w:name w:val="Título1"/>
    <w:basedOn w:val="Normal"/>
    <w:pPr>
      <w:spacing w:before="280" w:after="120" w:line="440" w:lineRule="atLeast"/>
    </w:pPr>
    <w:rPr>
      <w:rFonts w:ascii="Calibri Light" w:hAnsi="Calibri Light" w:cs="Calibri Light"/>
      <w:spacing w:val="-10"/>
      <w:kern w:val="2"/>
      <w:sz w:val="36"/>
      <w:szCs w:val="56"/>
      <w:lang w:eastAsia="es-ES"/>
      <w14:ligatures w14:val="standardContextual"/>
    </w:rPr>
  </w:style>
  <w:style w:type="paragraph" w:customStyle="1" w:styleId="Subttulo1">
    <w:name w:val="Subtítulo1"/>
    <w:basedOn w:val="Normal"/>
    <w:pPr>
      <w:spacing w:before="200" w:after="100" w:line="320" w:lineRule="atLeast"/>
    </w:pPr>
    <w:rPr>
      <w:rFonts w:ascii="Calibri" w:hAnsi="Calibri" w:cs="Calibri"/>
      <w:color w:val="595959"/>
      <w:spacing w:val="15"/>
      <w:kern w:val="2"/>
      <w:sz w:val="26"/>
      <w:szCs w:val="28"/>
      <w:lang w:eastAsia="es-ES"/>
      <w14:ligatures w14:val="standardContextual"/>
    </w:rPr>
  </w:style>
  <w:style w:type="table" w:styleId="Tablaconcuadrcula4-nfasis1">
    <w:name w:val="Grid Table 4 Accent 1"/>
    <w:basedOn w:val="Tablanormal"/>
    <w:uiPriority w:val="49"/>
    <w:rsid w:val="00672FE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n">
    <w:name w:val="Revision"/>
    <w:hidden/>
    <w:uiPriority w:val="99"/>
    <w:semiHidden/>
    <w:rsid w:val="0057796C"/>
    <w:pPr>
      <w:spacing w:after="0" w:line="240" w:lineRule="auto"/>
    </w:pPr>
  </w:style>
  <w:style w:type="character" w:styleId="Refdecomentario">
    <w:name w:val="annotation reference"/>
    <w:basedOn w:val="Fuentedeprrafopredeter"/>
    <w:uiPriority w:val="99"/>
    <w:semiHidden/>
    <w:unhideWhenUsed/>
    <w:rsid w:val="0057796C"/>
    <w:rPr>
      <w:sz w:val="16"/>
      <w:szCs w:val="16"/>
    </w:rPr>
  </w:style>
  <w:style w:type="paragraph" w:styleId="Textocomentario">
    <w:name w:val="annotation text"/>
    <w:basedOn w:val="Normal"/>
    <w:link w:val="TextocomentarioCar"/>
    <w:uiPriority w:val="99"/>
    <w:unhideWhenUsed/>
    <w:rsid w:val="0057796C"/>
    <w:pPr>
      <w:spacing w:line="240" w:lineRule="auto"/>
    </w:pPr>
    <w:rPr>
      <w:sz w:val="20"/>
      <w:szCs w:val="20"/>
    </w:rPr>
  </w:style>
  <w:style w:type="character" w:customStyle="1" w:styleId="TextocomentarioCar">
    <w:name w:val="Texto comentario Car"/>
    <w:basedOn w:val="Fuentedeprrafopredeter"/>
    <w:link w:val="Textocomentario"/>
    <w:uiPriority w:val="99"/>
    <w:rsid w:val="0057796C"/>
    <w:rPr>
      <w:sz w:val="20"/>
      <w:szCs w:val="20"/>
    </w:rPr>
  </w:style>
  <w:style w:type="paragraph" w:styleId="Asuntodelcomentario">
    <w:name w:val="annotation subject"/>
    <w:basedOn w:val="Textocomentario"/>
    <w:next w:val="Textocomentario"/>
    <w:link w:val="AsuntodelcomentarioCar"/>
    <w:uiPriority w:val="99"/>
    <w:semiHidden/>
    <w:unhideWhenUsed/>
    <w:rsid w:val="0057796C"/>
    <w:rPr>
      <w:b/>
      <w:bCs/>
    </w:rPr>
  </w:style>
  <w:style w:type="character" w:customStyle="1" w:styleId="AsuntodelcomentarioCar">
    <w:name w:val="Asunto del comentario Car"/>
    <w:basedOn w:val="TextocomentarioCar"/>
    <w:link w:val="Asuntodelcomentario"/>
    <w:uiPriority w:val="99"/>
    <w:semiHidden/>
    <w:rsid w:val="005779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4007">
      <w:marLeft w:val="0"/>
      <w:marRight w:val="0"/>
      <w:marTop w:val="0"/>
      <w:marBottom w:val="0"/>
      <w:divBdr>
        <w:top w:val="none" w:sz="0" w:space="0" w:color="auto"/>
        <w:left w:val="none" w:sz="0" w:space="0" w:color="auto"/>
        <w:bottom w:val="none" w:sz="0" w:space="0" w:color="auto"/>
        <w:right w:val="none" w:sz="0" w:space="0" w:color="auto"/>
      </w:divBdr>
      <w:divsChild>
        <w:div w:id="1363901656">
          <w:marLeft w:val="0"/>
          <w:marRight w:val="0"/>
          <w:marTop w:val="0"/>
          <w:marBottom w:val="0"/>
          <w:divBdr>
            <w:top w:val="none" w:sz="0" w:space="0" w:color="auto"/>
            <w:left w:val="none" w:sz="0" w:space="0" w:color="auto"/>
            <w:bottom w:val="none" w:sz="0" w:space="0" w:color="auto"/>
            <w:right w:val="none" w:sz="0" w:space="0" w:color="auto"/>
          </w:divBdr>
        </w:div>
      </w:divsChild>
    </w:div>
    <w:div w:id="212427594">
      <w:bodyDiv w:val="1"/>
      <w:marLeft w:val="0"/>
      <w:marRight w:val="0"/>
      <w:marTop w:val="0"/>
      <w:marBottom w:val="0"/>
      <w:divBdr>
        <w:top w:val="none" w:sz="0" w:space="0" w:color="auto"/>
        <w:left w:val="none" w:sz="0" w:space="0" w:color="auto"/>
        <w:bottom w:val="none" w:sz="0" w:space="0" w:color="auto"/>
        <w:right w:val="none" w:sz="0" w:space="0" w:color="auto"/>
      </w:divBdr>
      <w:divsChild>
        <w:div w:id="790707492">
          <w:marLeft w:val="0"/>
          <w:marRight w:val="0"/>
          <w:marTop w:val="0"/>
          <w:marBottom w:val="0"/>
          <w:divBdr>
            <w:top w:val="none" w:sz="0" w:space="0" w:color="auto"/>
            <w:left w:val="none" w:sz="0" w:space="0" w:color="auto"/>
            <w:bottom w:val="none" w:sz="0" w:space="0" w:color="auto"/>
            <w:right w:val="none" w:sz="0" w:space="0" w:color="auto"/>
          </w:divBdr>
        </w:div>
        <w:div w:id="699401057">
          <w:marLeft w:val="0"/>
          <w:marRight w:val="0"/>
          <w:marTop w:val="0"/>
          <w:marBottom w:val="0"/>
          <w:divBdr>
            <w:top w:val="none" w:sz="0" w:space="0" w:color="auto"/>
            <w:left w:val="none" w:sz="0" w:space="0" w:color="auto"/>
            <w:bottom w:val="none" w:sz="0" w:space="0" w:color="auto"/>
            <w:right w:val="none" w:sz="0" w:space="0" w:color="auto"/>
          </w:divBdr>
        </w:div>
        <w:div w:id="884178399">
          <w:marLeft w:val="0"/>
          <w:marRight w:val="0"/>
          <w:marTop w:val="0"/>
          <w:marBottom w:val="0"/>
          <w:divBdr>
            <w:top w:val="none" w:sz="0" w:space="0" w:color="auto"/>
            <w:left w:val="none" w:sz="0" w:space="0" w:color="auto"/>
            <w:bottom w:val="none" w:sz="0" w:space="0" w:color="auto"/>
            <w:right w:val="none" w:sz="0" w:space="0" w:color="auto"/>
          </w:divBdr>
        </w:div>
      </w:divsChild>
    </w:div>
    <w:div w:id="213350225">
      <w:marLeft w:val="0"/>
      <w:marRight w:val="0"/>
      <w:marTop w:val="0"/>
      <w:marBottom w:val="0"/>
      <w:divBdr>
        <w:top w:val="none" w:sz="0" w:space="0" w:color="auto"/>
        <w:left w:val="none" w:sz="0" w:space="0" w:color="auto"/>
        <w:bottom w:val="none" w:sz="0" w:space="0" w:color="auto"/>
        <w:right w:val="none" w:sz="0" w:space="0" w:color="auto"/>
      </w:divBdr>
    </w:div>
    <w:div w:id="500196054">
      <w:marLeft w:val="0"/>
      <w:marRight w:val="0"/>
      <w:marTop w:val="0"/>
      <w:marBottom w:val="0"/>
      <w:divBdr>
        <w:top w:val="none" w:sz="0" w:space="0" w:color="auto"/>
        <w:left w:val="none" w:sz="0" w:space="0" w:color="auto"/>
        <w:bottom w:val="none" w:sz="0" w:space="0" w:color="auto"/>
        <w:right w:val="none" w:sz="0" w:space="0" w:color="auto"/>
      </w:divBdr>
    </w:div>
    <w:div w:id="933130877">
      <w:bodyDiv w:val="1"/>
      <w:marLeft w:val="0"/>
      <w:marRight w:val="0"/>
      <w:marTop w:val="0"/>
      <w:marBottom w:val="0"/>
      <w:divBdr>
        <w:top w:val="none" w:sz="0" w:space="0" w:color="auto"/>
        <w:left w:val="none" w:sz="0" w:space="0" w:color="auto"/>
        <w:bottom w:val="none" w:sz="0" w:space="0" w:color="auto"/>
        <w:right w:val="none" w:sz="0" w:space="0" w:color="auto"/>
      </w:divBdr>
      <w:divsChild>
        <w:div w:id="583337926">
          <w:marLeft w:val="0"/>
          <w:marRight w:val="0"/>
          <w:marTop w:val="0"/>
          <w:marBottom w:val="0"/>
          <w:divBdr>
            <w:top w:val="none" w:sz="0" w:space="0" w:color="auto"/>
            <w:left w:val="none" w:sz="0" w:space="0" w:color="auto"/>
            <w:bottom w:val="none" w:sz="0" w:space="0" w:color="auto"/>
            <w:right w:val="none" w:sz="0" w:space="0" w:color="auto"/>
          </w:divBdr>
        </w:div>
        <w:div w:id="1029991421">
          <w:marLeft w:val="0"/>
          <w:marRight w:val="0"/>
          <w:marTop w:val="0"/>
          <w:marBottom w:val="0"/>
          <w:divBdr>
            <w:top w:val="none" w:sz="0" w:space="0" w:color="auto"/>
            <w:left w:val="none" w:sz="0" w:space="0" w:color="auto"/>
            <w:bottom w:val="none" w:sz="0" w:space="0" w:color="auto"/>
            <w:right w:val="none" w:sz="0" w:space="0" w:color="auto"/>
          </w:divBdr>
        </w:div>
        <w:div w:id="10381207">
          <w:marLeft w:val="0"/>
          <w:marRight w:val="0"/>
          <w:marTop w:val="0"/>
          <w:marBottom w:val="0"/>
          <w:divBdr>
            <w:top w:val="none" w:sz="0" w:space="0" w:color="auto"/>
            <w:left w:val="none" w:sz="0" w:space="0" w:color="auto"/>
            <w:bottom w:val="none" w:sz="0" w:space="0" w:color="auto"/>
            <w:right w:val="none" w:sz="0" w:space="0" w:color="auto"/>
          </w:divBdr>
        </w:div>
      </w:divsChild>
    </w:div>
    <w:div w:id="11626196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randteurope.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randt.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cf851b-65a2-4cb2-8f68-dfd6ee8c3a15" xsi:nil="true"/>
    <lcf76f155ced4ddcb4097134ff3c332f xmlns="1f16ac70-26dc-4fe5-a210-844a183fa3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B4A17B5918B6549A3C469E6D28810AB" ma:contentTypeVersion="16" ma:contentTypeDescription="Crear nuevo documento." ma:contentTypeScope="" ma:versionID="6ace9801a9c6b57b3d419af9bb6e773d">
  <xsd:schema xmlns:xsd="http://www.w3.org/2001/XMLSchema" xmlns:xs="http://www.w3.org/2001/XMLSchema" xmlns:p="http://schemas.microsoft.com/office/2006/metadata/properties" xmlns:ns2="1f16ac70-26dc-4fe5-a210-844a183fa3ef" xmlns:ns3="3ecf851b-65a2-4cb2-8f68-dfd6ee8c3a15" targetNamespace="http://schemas.microsoft.com/office/2006/metadata/properties" ma:root="true" ma:fieldsID="5b0e99ded4df5c95c5e053f111e1fa80" ns2:_="" ns3:_="">
    <xsd:import namespace="1f16ac70-26dc-4fe5-a210-844a183fa3ef"/>
    <xsd:import namespace="3ecf851b-65a2-4cb2-8f68-dfd6ee8c3a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6ac70-26dc-4fe5-a210-844a183fa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23f54df-432a-4796-b1ae-53a8f6a1df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f851b-65a2-4cb2-8f68-dfd6ee8c3a1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f6576e-84c6-4bc2-9148-29f4ffd3bd42}" ma:internalName="TaxCatchAll" ma:showField="CatchAllData" ma:web="3ecf851b-65a2-4cb2-8f68-dfd6ee8c3a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C688C-1F53-4619-8AB1-32CEB11968D5}">
  <ds:schemaRefs>
    <ds:schemaRef ds:uri="http://schemas.microsoft.com/office/2006/metadata/properties"/>
    <ds:schemaRef ds:uri="http://schemas.microsoft.com/office/infopath/2007/PartnerControls"/>
    <ds:schemaRef ds:uri="3ecf851b-65a2-4cb2-8f68-dfd6ee8c3a15"/>
    <ds:schemaRef ds:uri="1f16ac70-26dc-4fe5-a210-844a183fa3ef"/>
  </ds:schemaRefs>
</ds:datastoreItem>
</file>

<file path=customXml/itemProps2.xml><?xml version="1.0" encoding="utf-8"?>
<ds:datastoreItem xmlns:ds="http://schemas.openxmlformats.org/officeDocument/2006/customXml" ds:itemID="{EB85AAD1-F9F0-4B38-8088-9EAFB48B5290}"/>
</file>

<file path=customXml/itemProps3.xml><?xml version="1.0" encoding="utf-8"?>
<ds:datastoreItem xmlns:ds="http://schemas.openxmlformats.org/officeDocument/2006/customXml" ds:itemID="{BB84C8AC-A5CA-4F8A-A89D-E737D42FE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5322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David Falcón</dc:creator>
  <cp:keywords/>
  <dc:description/>
  <cp:lastModifiedBy>Marga López Polo</cp:lastModifiedBy>
  <cp:revision>3</cp:revision>
  <dcterms:created xsi:type="dcterms:W3CDTF">2026-10-19T12:02:00Z</dcterms:created>
  <dcterms:modified xsi:type="dcterms:W3CDTF">2026-10-19T12:14:00Z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0x010100FB4A17B5918B6549A3C469E6D28810AB</vt:lpwstr>
  </property>
  <property fmtid="{D5CDD505-2E9C-101B-9397-08002B2CF9AE}" pid="3" name="MediaServiceImageTags">
    <vt:lpwstr/>
  </property>
  <property fmtid="{D5CDD505-2E9C-101B-9397-08002B2CF9AE}" pid="5" name="docLang">
    <vt:lpwstr>es</vt:lpwstr>
  </property>
</Properties>
</file>