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D817C" w14:textId="77777777" w:rsidR="00BF670D" w:rsidRDefault="00282CEC" w:rsidP="005D6FDE">
      <w:pPr>
        <w:divId w:val="1363901656"/>
      </w:pPr>
      <w:r w:rsidRPr="00D00176">
        <w:rPr>
          <w:b/>
          <w:color w:val="E1251B"/>
          <w:sz w:val="48"/>
          <w:szCs w:val="48"/>
        </w:rPr>
        <w:t>BRANDT InVigo®</w:t>
      </w:r>
    </w:p>
    <w:p w14:paraId="225D537B" w14:textId="77777777" w:rsidR="006C26FB" w:rsidRDefault="00BF670D" w:rsidP="008C78A8">
      <w:pPr>
        <w:divId w:val="1363901656"/>
      </w:pPr>
      <w:r>
        <w:rPr>
          <w:b/>
          <w:bCs/>
        </w:rPr>
        <w:t>Bioestimulación de alto rendimiento para cultivos sometidos a estrés abiótico</w:t>
      </w:r>
    </w:p>
    <w:p w14:paraId="1FD85E5C" w14:textId="77777777" w:rsidR="00BF670D" w:rsidRDefault="00BF670D">
      <w:pPr>
        <w:rPr>
          <w:kern w:val="2"/>
          <w:lang w:eastAsia="es-ES"/>
          <w14:ligatures w14:val="standardContextual"/>
        </w:rPr>
      </w:pPr>
      <w:r>
        <w:rPr>
          <w:b/>
          <w:bCs/>
        </w:rPr>
        <w:t>Vigor, resistencia y productividad para los cultivos</w:t>
      </w:r>
    </w:p>
    <w:p w14:paraId="0FB2B3D4" w14:textId="77777777" w:rsidR="00BF670D" w:rsidRDefault="00BF670D">
      <w:pPr>
        <w:pStyle w:val="Ttulo1"/>
        <w:rPr>
          <w:rFonts w:asciiTheme="minorHAnsi" w:hAnsiTheme="minorHAnsi" w:cstheme="minorBidi"/>
          <w:kern w:val="36"/>
          <w:sz w:val="48"/>
          <w:szCs w:val="48"/>
          <w:lang w:eastAsia="es-ES"/>
          <w14:ligatures w14:val="standardContextual"/>
        </w:rPr>
      </w:pPr>
      <w:r>
        <w:rPr>
          <w:rFonts w:asciiTheme="minorHAnsi" w:hAnsiTheme="minorHAnsi" w:cstheme="minorBidi"/>
        </w:rPr>
        <w:t>1. ¿Qué es BRANDT InVigo®?</w:t>
      </w:r>
    </w:p>
    <w:p w14:paraId="33A73ADC" w14:textId="740B8068" w:rsidR="00BF670D" w:rsidRDefault="00BF670D" w:rsidP="00635C10">
      <w:pPr>
        <w:jc w:val="both"/>
        <w:rPr>
          <w:kern w:val="2"/>
          <w:lang w:eastAsia="es-ES"/>
          <w14:ligatures w14:val="standardContextual"/>
        </w:rPr>
      </w:pPr>
      <w:r>
        <w:t>BRANDT InVigo® es un bioestimulante vegetal no microbiano diseñado para mejorar la tolerancia de los cultivos al estrés abiótico y favorecer su rendimiento. Su formulación combina AATC, prolina y micronutrientes de elevada disponibilidad</w:t>
      </w:r>
      <w:r w:rsidR="002F3011">
        <w:t>,</w:t>
      </w:r>
      <w:r>
        <w:t xml:space="preserve"> con la tecnología Manni-Plex®, actuando sobre procesos fisiológicos y metabólicos clave de la planta.</w:t>
      </w:r>
    </w:p>
    <w:p w14:paraId="4AB6AC17" w14:textId="77777777" w:rsidR="00BF670D" w:rsidRDefault="00BF670D" w:rsidP="00BF670D">
      <w:pPr>
        <w:pStyle w:val="Prrafodelista"/>
        <w:numPr>
          <w:ilvl w:val="0"/>
          <w:numId w:val="9"/>
        </w:numPr>
      </w:pPr>
      <w:r>
        <w:t>Sequía y déficit hídrico.</w:t>
      </w:r>
    </w:p>
    <w:p w14:paraId="5CF4DCE0" w14:textId="77777777" w:rsidR="00BF670D" w:rsidRDefault="00BF670D" w:rsidP="00BF670D">
      <w:pPr>
        <w:pStyle w:val="Prrafodelista"/>
        <w:numPr>
          <w:ilvl w:val="0"/>
          <w:numId w:val="9"/>
        </w:numPr>
      </w:pPr>
      <w:r>
        <w:t>Salinidad.</w:t>
      </w:r>
    </w:p>
    <w:p w14:paraId="38CA5425" w14:textId="77777777" w:rsidR="00BF670D" w:rsidRDefault="00BF670D" w:rsidP="00BF670D">
      <w:pPr>
        <w:pStyle w:val="Prrafodelista"/>
        <w:numPr>
          <w:ilvl w:val="0"/>
          <w:numId w:val="9"/>
        </w:numPr>
      </w:pPr>
      <w:r>
        <w:t>Temperaturas extremas.</w:t>
      </w:r>
    </w:p>
    <w:p w14:paraId="450ACFF4" w14:textId="77777777" w:rsidR="00BF670D" w:rsidRDefault="00BF670D" w:rsidP="00BF670D">
      <w:pPr>
        <w:pStyle w:val="Prrafodelista"/>
        <w:numPr>
          <w:ilvl w:val="0"/>
          <w:numId w:val="9"/>
        </w:numPr>
      </w:pPr>
      <w:r>
        <w:t>Estrés derivado del trasplante.</w:t>
      </w:r>
    </w:p>
    <w:p w14:paraId="09D4E577" w14:textId="77777777" w:rsidR="00BF670D" w:rsidRDefault="00BF670D">
      <w:pPr>
        <w:pStyle w:val="Ttulo1"/>
        <w:rPr>
          <w:rFonts w:asciiTheme="minorHAnsi" w:hAnsiTheme="minorHAnsi" w:cstheme="minorBidi"/>
          <w:kern w:val="36"/>
          <w:sz w:val="48"/>
          <w:szCs w:val="48"/>
          <w:lang w:eastAsia="es-ES"/>
          <w14:ligatures w14:val="standardContextual"/>
        </w:rPr>
      </w:pPr>
      <w:r>
        <w:rPr>
          <w:rFonts w:asciiTheme="minorHAnsi" w:hAnsiTheme="minorHAnsi" w:cstheme="minorBidi"/>
        </w:rPr>
        <w:t>2. Una formulación diferencial</w:t>
      </w:r>
    </w:p>
    <w:p w14:paraId="6E3B45EE" w14:textId="77777777" w:rsidR="00BF670D" w:rsidRDefault="00E86DE1" w:rsidP="00635C10">
      <w:pPr>
        <w:jc w:val="both"/>
      </w:pPr>
      <w:r>
        <w:t>La eficacia de BRANDT InVigo® se apoya en una combinación equilibrada de componentes que actúan de forma complementaria sobre la fisiología vegetal.</w:t>
      </w:r>
    </w:p>
    <w:p w14:paraId="3822692D" w14:textId="77777777" w:rsidR="00BF670D" w:rsidRDefault="00BF670D" w:rsidP="00635C10">
      <w:pPr>
        <w:pStyle w:val="Prrafodelista"/>
        <w:numPr>
          <w:ilvl w:val="0"/>
          <w:numId w:val="10"/>
        </w:numPr>
        <w:jc w:val="both"/>
      </w:pPr>
      <w:r w:rsidRPr="00BF670D">
        <w:rPr>
          <w:b/>
          <w:bCs/>
        </w:rPr>
        <w:t>AATC —ácido N-acetil-tiazolidina-4-carboxílico—:</w:t>
      </w:r>
      <w:r>
        <w:t xml:space="preserve"> precursor metabólico que regula la respuesta de la planta frente al estrés y favorece la síntesis de prolina, glutatión y L-cisteína.</w:t>
      </w:r>
    </w:p>
    <w:p w14:paraId="1B29BE77" w14:textId="77777777" w:rsidR="00BF670D" w:rsidRDefault="00BF670D" w:rsidP="00635C10">
      <w:pPr>
        <w:pStyle w:val="Prrafodelista"/>
        <w:numPr>
          <w:ilvl w:val="0"/>
          <w:numId w:val="10"/>
        </w:numPr>
        <w:jc w:val="both"/>
      </w:pPr>
      <w:r>
        <w:rPr>
          <w:b/>
          <w:bCs/>
        </w:rPr>
        <w:t>Prolina:</w:t>
      </w:r>
      <w:r>
        <w:t xml:space="preserve"> aminoácido que contribuye a la protección celular y a la regulación osmótica.</w:t>
      </w:r>
    </w:p>
    <w:p w14:paraId="2B7C89EA" w14:textId="77777777" w:rsidR="00BF670D" w:rsidRDefault="00BF670D" w:rsidP="00635C10">
      <w:pPr>
        <w:pStyle w:val="Prrafodelista"/>
        <w:numPr>
          <w:ilvl w:val="0"/>
          <w:numId w:val="10"/>
        </w:numPr>
        <w:jc w:val="both"/>
      </w:pPr>
      <w:r>
        <w:rPr>
          <w:b/>
          <w:bCs/>
        </w:rPr>
        <w:t>Hierro, manganeso y zinc:</w:t>
      </w:r>
      <w:r>
        <w:t xml:space="preserve"> micronutrientes esenciales para el metabolismo y la actividad fotosintética.</w:t>
      </w:r>
    </w:p>
    <w:p w14:paraId="63C38FB3" w14:textId="7CBAD5F8" w:rsidR="00BF670D" w:rsidRDefault="00BF670D" w:rsidP="00635C10">
      <w:pPr>
        <w:pStyle w:val="Prrafodelista"/>
        <w:numPr>
          <w:ilvl w:val="0"/>
          <w:numId w:val="10"/>
        </w:numPr>
        <w:jc w:val="both"/>
      </w:pPr>
      <w:r>
        <w:rPr>
          <w:b/>
          <w:bCs/>
        </w:rPr>
        <w:t>Tecnología Manni-Plex®:</w:t>
      </w:r>
      <w:r>
        <w:t xml:space="preserve"> sistema que mejora la absorción y la movilidad de los nutrientes dentro de la planta.</w:t>
      </w:r>
    </w:p>
    <w:p w14:paraId="572CA7A3" w14:textId="77777777" w:rsidR="00823B26" w:rsidRDefault="00823B26">
      <w:pPr>
        <w:pStyle w:val="Ttulo1"/>
        <w:rPr>
          <w:kern w:val="36"/>
          <w:lang w:eastAsia="es-ES"/>
          <w14:ligatures w14:val="standardContextual"/>
        </w:rPr>
      </w:pPr>
      <w:r>
        <w:rPr>
          <w:rFonts w:ascii="Calibri" w:hAnsi="Calibri" w:cs="Calibri"/>
        </w:rPr>
        <w:t>3. Registro europeo como bioestimulante</w:t>
      </w:r>
    </w:p>
    <w:p w14:paraId="3E6779EF" w14:textId="77777777" w:rsidR="00BF670D" w:rsidRDefault="00282CEC" w:rsidP="00635C10">
      <w:pPr>
        <w:jc w:val="both"/>
        <w:divId w:val="2063671430"/>
      </w:pPr>
      <w:r>
        <w:t xml:space="preserve">BRANDT InVigo® cuenta con el número de </w:t>
      </w:r>
      <w:r w:rsidRPr="00635C10">
        <w:rPr>
          <w:b/>
          <w:bCs/>
        </w:rPr>
        <w:t>registro europeo 27829</w:t>
      </w:r>
      <w:r>
        <w:t xml:space="preserve"> y dispone de marcado CE conforme al Reglamento (UE) 2019/1009, que establece las condiciones </w:t>
      </w:r>
      <w:r w:rsidR="002A14AB">
        <w:t>de</w:t>
      </w:r>
      <w:r>
        <w:t xml:space="preserve"> comercialización de los productos fertilizantes UE. Esta conformidad acredita el </w:t>
      </w:r>
      <w:r w:rsidR="002A14AB">
        <w:t>cumplimiento de</w:t>
      </w:r>
      <w:r>
        <w:t xml:space="preserve"> los requisitos aplicables de seguridad, calidad, etiquetado y eficacia, y permite su comercialización en el mercado interior europeo.</w:t>
      </w:r>
    </w:p>
    <w:p w14:paraId="7777759D" w14:textId="3663020D" w:rsidR="00BF670D" w:rsidRDefault="00282CEC" w:rsidP="00635C10">
      <w:pPr>
        <w:jc w:val="both"/>
        <w:divId w:val="2063671430"/>
      </w:pPr>
      <w:r>
        <w:t>Dentro de este marco, BRANDT InVigo® se encuadra en la categoría funcional de bioestimulante vegetal no microbiano —CFP 6(B</w:t>
      </w:r>
      <w:r w:rsidR="00FE6ADF">
        <w:t xml:space="preserve">)—. </w:t>
      </w:r>
      <w:r w:rsidR="00FE6ADF" w:rsidRPr="000E23C4">
        <w:rPr>
          <w:b/>
          <w:bCs/>
        </w:rPr>
        <w:t>Es</w:t>
      </w:r>
      <w:r w:rsidRPr="000E23C4">
        <w:rPr>
          <w:b/>
          <w:bCs/>
        </w:rPr>
        <w:t xml:space="preserve"> el único bioestimulante de este tipo que ha obtenido este registro europeo</w:t>
      </w:r>
      <w:r>
        <w:t>, una diferenciación vinculada a su formulación específica, que combina AATC, prolina, micronutrientes esenciales y la tecnología Manni-Plex®.</w:t>
      </w:r>
    </w:p>
    <w:p w14:paraId="6E048F35" w14:textId="77777777" w:rsidR="00ED7A3C" w:rsidRDefault="00ED7A3C" w:rsidP="000E23C4">
      <w:pPr>
        <w:jc w:val="both"/>
        <w:divId w:val="2063671430"/>
      </w:pPr>
      <w:r>
        <w:lastRenderedPageBreak/>
        <w:t>Más allá del cumplimiento normativo, este reconocimiento aporta una garantía relevante para distribuidores, técnicos y agricultores: ofrece una referencia común sobre la conformidad del producto y avala su posicionamiento como una solución desarrollada para ayudar al cultivo a responder frente al estrés abiótico.</w:t>
      </w:r>
    </w:p>
    <w:p w14:paraId="3FF6E98D" w14:textId="77777777" w:rsidR="00ED7A3C" w:rsidRDefault="00ED7A3C">
      <w:pPr>
        <w:divId w:val="2063671430"/>
      </w:pPr>
      <w:r>
        <w:rPr>
          <w:b/>
          <w:bCs/>
        </w:rPr>
        <w:t>Qué aporta el registro europeo</w:t>
      </w:r>
    </w:p>
    <w:p w14:paraId="7E6AA574" w14:textId="77777777" w:rsidR="00ED7A3C" w:rsidRDefault="00ED7A3C" w:rsidP="00ED7A3C">
      <w:pPr>
        <w:pStyle w:val="Prrafodelista"/>
        <w:numPr>
          <w:ilvl w:val="0"/>
          <w:numId w:val="13"/>
        </w:numPr>
        <w:divId w:val="2063671430"/>
      </w:pPr>
      <w:r w:rsidRPr="00ED7A3C">
        <w:rPr>
          <w:b/>
          <w:bCs/>
        </w:rPr>
        <w:t>Conformidad normativa:</w:t>
      </w:r>
      <w:r>
        <w:t xml:space="preserve"> cumplimiento de los requisitos establecidos para los productos fertilizantes UE.</w:t>
      </w:r>
    </w:p>
    <w:p w14:paraId="5C5A4E2C" w14:textId="77777777" w:rsidR="00ED7A3C" w:rsidRDefault="00ED7A3C" w:rsidP="00ED7A3C">
      <w:pPr>
        <w:pStyle w:val="Prrafodelista"/>
        <w:numPr>
          <w:ilvl w:val="0"/>
          <w:numId w:val="13"/>
        </w:numPr>
        <w:divId w:val="2063671430"/>
      </w:pPr>
      <w:r w:rsidRPr="00ED7A3C">
        <w:rPr>
          <w:b/>
          <w:bCs/>
        </w:rPr>
        <w:t>Marcado CE:</w:t>
      </w:r>
      <w:r>
        <w:t xml:space="preserve"> acceso al mercado interior en las condiciones previstas por la normativa europea.</w:t>
      </w:r>
    </w:p>
    <w:p w14:paraId="0F75D1B8" w14:textId="77777777" w:rsidR="00ED7A3C" w:rsidRDefault="00ED7A3C" w:rsidP="00ED7A3C">
      <w:pPr>
        <w:pStyle w:val="Prrafodelista"/>
        <w:numPr>
          <w:ilvl w:val="0"/>
          <w:numId w:val="13"/>
        </w:numPr>
        <w:divId w:val="2063671430"/>
      </w:pPr>
      <w:r w:rsidRPr="00ED7A3C">
        <w:rPr>
          <w:b/>
          <w:bCs/>
        </w:rPr>
        <w:t>Eficacia acreditada:</w:t>
      </w:r>
      <w:r>
        <w:t xml:space="preserve"> respaldo de las alegaciones bioestimulantes mediante ensayos evaluados conforme al procedimiento aplicable.</w:t>
      </w:r>
    </w:p>
    <w:p w14:paraId="35FB2A41" w14:textId="77777777" w:rsidR="00ED7A3C" w:rsidRDefault="00ED7A3C" w:rsidP="00ED7A3C">
      <w:pPr>
        <w:pStyle w:val="Prrafodelista"/>
        <w:numPr>
          <w:ilvl w:val="0"/>
          <w:numId w:val="13"/>
        </w:numPr>
        <w:divId w:val="2063671430"/>
      </w:pPr>
      <w:r w:rsidRPr="00ED7A3C">
        <w:rPr>
          <w:b/>
          <w:bCs/>
        </w:rPr>
        <w:t>Seguridad y confianza:</w:t>
      </w:r>
      <w:r>
        <w:t xml:space="preserve"> mayor garantía técnica y jurídica para la cadena de distribución y para el usuario profesional.</w:t>
      </w:r>
    </w:p>
    <w:p w14:paraId="605E6B60" w14:textId="77777777" w:rsidR="00BF670D" w:rsidRDefault="00DD31B5" w:rsidP="00DD31B5">
      <w:pPr>
        <w:pStyle w:val="Ttulo1"/>
      </w:pPr>
      <w:r>
        <w:rPr>
          <w:rFonts w:ascii="Calibri" w:hAnsi="Calibri" w:cs="Calibri"/>
        </w:rPr>
        <w:t>4</w:t>
      </w:r>
      <w:r w:rsidRPr="00DD31B5">
        <w:rPr>
          <w:rFonts w:ascii="Calibri" w:hAnsi="Calibri" w:cs="Calibri"/>
        </w:rPr>
        <w:t>. ¿Cómo actúa en la planta?</w:t>
      </w:r>
    </w:p>
    <w:p w14:paraId="23DA3D50" w14:textId="77777777" w:rsidR="00FF423A" w:rsidRDefault="00FF423A" w:rsidP="000E23C4">
      <w:pPr>
        <w:jc w:val="both"/>
        <w:rPr>
          <w:kern w:val="2"/>
          <w:lang w:eastAsia="es-ES"/>
          <w14:ligatures w14:val="standardContextual"/>
        </w:rPr>
      </w:pPr>
      <w:r>
        <w:t>Su acción se desarrolla a través de distintos procesos metabólicos y celulares que ayudan a la planta a responder con mayor eficacia ante situaciones adversas.</w:t>
      </w:r>
    </w:p>
    <w:p w14:paraId="701FA505" w14:textId="77777777" w:rsidR="002F22A2" w:rsidRPr="00A37CB3" w:rsidRDefault="002F22A2" w:rsidP="00A37CB3">
      <w:pPr>
        <w:ind w:left="360"/>
        <w:jc w:val="both"/>
        <w:rPr>
          <w:b/>
          <w:bCs/>
        </w:rPr>
      </w:pPr>
      <w:r w:rsidRPr="00A37CB3">
        <w:rPr>
          <w:b/>
          <w:bCs/>
        </w:rPr>
        <w:t xml:space="preserve">Activación metabólica a través de AATC </w:t>
      </w:r>
    </w:p>
    <w:p w14:paraId="090AAA94" w14:textId="77777777" w:rsidR="002F22A2" w:rsidRPr="002F22A2" w:rsidRDefault="002F22A2" w:rsidP="00A37CB3">
      <w:pPr>
        <w:ind w:left="360"/>
        <w:jc w:val="both"/>
      </w:pPr>
      <w:r w:rsidRPr="002F22A2">
        <w:t xml:space="preserve">El AATC incrementa la síntesis de prolina, glutatión y L-cisteína, compuestos esenciales para la defensa celular frente al estrés abiótico. </w:t>
      </w:r>
    </w:p>
    <w:p w14:paraId="793EA9AF" w14:textId="77777777" w:rsidR="002F22A2" w:rsidRPr="002F22A2" w:rsidRDefault="002F22A2" w:rsidP="00A37CB3">
      <w:pPr>
        <w:pStyle w:val="Prrafodelista"/>
        <w:numPr>
          <w:ilvl w:val="0"/>
          <w:numId w:val="16"/>
        </w:numPr>
        <w:jc w:val="both"/>
      </w:pPr>
      <w:r w:rsidRPr="002F22A2">
        <w:t xml:space="preserve">Estimula las reacciones de oxidación-reducción en las células vegetales </w:t>
      </w:r>
    </w:p>
    <w:p w14:paraId="74008812" w14:textId="77777777" w:rsidR="002F22A2" w:rsidRPr="002F22A2" w:rsidRDefault="002F22A2" w:rsidP="00A37CB3">
      <w:pPr>
        <w:pStyle w:val="Prrafodelista"/>
        <w:numPr>
          <w:ilvl w:val="0"/>
          <w:numId w:val="16"/>
        </w:numPr>
        <w:jc w:val="both"/>
      </w:pPr>
      <w:r w:rsidRPr="002F22A2">
        <w:t xml:space="preserve">Promueve la síntesis de proteínas </w:t>
      </w:r>
    </w:p>
    <w:p w14:paraId="53711126" w14:textId="77777777" w:rsidR="002F22A2" w:rsidRPr="002F22A2" w:rsidRDefault="002F22A2" w:rsidP="00A37CB3">
      <w:pPr>
        <w:pStyle w:val="Prrafodelista"/>
        <w:numPr>
          <w:ilvl w:val="0"/>
          <w:numId w:val="16"/>
        </w:numPr>
        <w:jc w:val="both"/>
      </w:pPr>
      <w:r w:rsidRPr="002F22A2">
        <w:t xml:space="preserve">Reduce los procesos de senescencia </w:t>
      </w:r>
    </w:p>
    <w:p w14:paraId="0EFF8140" w14:textId="77777777" w:rsidR="002F22A2" w:rsidRPr="00A37CB3" w:rsidRDefault="002F22A2" w:rsidP="00A37CB3">
      <w:pPr>
        <w:ind w:left="360"/>
        <w:jc w:val="both"/>
        <w:rPr>
          <w:b/>
          <w:bCs/>
        </w:rPr>
      </w:pPr>
      <w:r w:rsidRPr="00A37CB3">
        <w:rPr>
          <w:b/>
          <w:bCs/>
        </w:rPr>
        <w:t xml:space="preserve">Protección osmótica y estructural </w:t>
      </w:r>
    </w:p>
    <w:p w14:paraId="7B0E36C8" w14:textId="77777777" w:rsidR="002F22A2" w:rsidRPr="002F22A2" w:rsidRDefault="002F22A2" w:rsidP="00A37CB3">
      <w:pPr>
        <w:ind w:left="360"/>
        <w:jc w:val="both"/>
      </w:pPr>
      <w:r w:rsidRPr="002F22A2">
        <w:t xml:space="preserve">La prolina actúa como </w:t>
      </w:r>
      <w:proofErr w:type="spellStart"/>
      <w:r w:rsidRPr="002F22A2">
        <w:t>osmolito</w:t>
      </w:r>
      <w:proofErr w:type="spellEnd"/>
      <w:r w:rsidRPr="002F22A2">
        <w:t xml:space="preserve"> y estabilizador celular, permitiendo que la planta mantenga el equilibrio fisiológico bajo condiciones de estrés. </w:t>
      </w:r>
    </w:p>
    <w:p w14:paraId="6B58A23F" w14:textId="77777777" w:rsidR="002F22A2" w:rsidRPr="002F22A2" w:rsidRDefault="002F22A2" w:rsidP="00A37CB3">
      <w:pPr>
        <w:pStyle w:val="Prrafodelista"/>
        <w:numPr>
          <w:ilvl w:val="0"/>
          <w:numId w:val="17"/>
        </w:numPr>
        <w:jc w:val="both"/>
      </w:pPr>
      <w:r w:rsidRPr="002F22A2">
        <w:t xml:space="preserve">Aumento del grosor de las paredes celulares </w:t>
      </w:r>
    </w:p>
    <w:p w14:paraId="42553403" w14:textId="77777777" w:rsidR="002F22A2" w:rsidRPr="002F22A2" w:rsidRDefault="002F22A2" w:rsidP="00A37CB3">
      <w:pPr>
        <w:pStyle w:val="Prrafodelista"/>
        <w:numPr>
          <w:ilvl w:val="0"/>
          <w:numId w:val="17"/>
        </w:numPr>
        <w:jc w:val="both"/>
      </w:pPr>
      <w:r w:rsidRPr="002F22A2">
        <w:t xml:space="preserve">Mayor resistencia al frío y al estrés hídrico </w:t>
      </w:r>
    </w:p>
    <w:p w14:paraId="59B92AEF" w14:textId="77777777" w:rsidR="002F22A2" w:rsidRPr="002F22A2" w:rsidRDefault="002F22A2" w:rsidP="00A37CB3">
      <w:pPr>
        <w:pStyle w:val="Prrafodelista"/>
        <w:numPr>
          <w:ilvl w:val="0"/>
          <w:numId w:val="17"/>
        </w:numPr>
        <w:jc w:val="both"/>
      </w:pPr>
      <w:r w:rsidRPr="002F22A2">
        <w:t xml:space="preserve">Mejora de la germinación del polen </w:t>
      </w:r>
    </w:p>
    <w:p w14:paraId="2FB0F67B" w14:textId="77777777" w:rsidR="002F22A2" w:rsidRPr="002F22A2" w:rsidRDefault="002F22A2" w:rsidP="00A37CB3">
      <w:pPr>
        <w:pStyle w:val="Prrafodelista"/>
        <w:numPr>
          <w:ilvl w:val="0"/>
          <w:numId w:val="17"/>
        </w:numPr>
        <w:jc w:val="both"/>
      </w:pPr>
      <w:r w:rsidRPr="002F22A2">
        <w:t xml:space="preserve">Regulación de la actividad hormonal y enzimática </w:t>
      </w:r>
    </w:p>
    <w:p w14:paraId="35B1B57C" w14:textId="77777777" w:rsidR="002F22A2" w:rsidRPr="00A37CB3" w:rsidRDefault="002F22A2" w:rsidP="00A37CB3">
      <w:pPr>
        <w:ind w:left="360"/>
        <w:jc w:val="both"/>
        <w:rPr>
          <w:b/>
          <w:bCs/>
        </w:rPr>
      </w:pPr>
      <w:r w:rsidRPr="00A37CB3">
        <w:rPr>
          <w:b/>
          <w:bCs/>
        </w:rPr>
        <w:t xml:space="preserve">Acción antioxidante </w:t>
      </w:r>
    </w:p>
    <w:p w14:paraId="20378A3E" w14:textId="77E1AD6F" w:rsidR="002F22A2" w:rsidRDefault="002F22A2" w:rsidP="00B01F5E">
      <w:pPr>
        <w:ind w:left="360"/>
        <w:jc w:val="both"/>
      </w:pPr>
      <w:r w:rsidRPr="002F22A2">
        <w:t>El glutatión protege las células vegetales al neutralizar los radicales libres (ROS) generados durante situaciones de estrés como altas temperaturas, radiación intensa o sequía.</w:t>
      </w:r>
      <w:r w:rsidRPr="00B01F5E">
        <w:rPr>
          <w:b/>
          <w:bCs/>
        </w:rPr>
        <w:t xml:space="preserve"> </w:t>
      </w:r>
    </w:p>
    <w:p w14:paraId="68ECAF64" w14:textId="77777777" w:rsidR="002F22A2" w:rsidRPr="002F22A2" w:rsidRDefault="002F22A2" w:rsidP="002F22A2">
      <w:pPr>
        <w:jc w:val="both"/>
      </w:pPr>
      <w:r w:rsidRPr="002F22A2">
        <w:t xml:space="preserve">BRANDT InVigo incorpora </w:t>
      </w:r>
      <w:r w:rsidRPr="00B01F5E">
        <w:rPr>
          <w:b/>
          <w:bCs/>
        </w:rPr>
        <w:t>la tecnología BRANDT Manni-Plex</w:t>
      </w:r>
      <w:r w:rsidRPr="002F22A2">
        <w:t xml:space="preserve">, que mejora significativamente la absorción y translocación de micronutrientes en la planta. </w:t>
      </w:r>
    </w:p>
    <w:p w14:paraId="5B116BDD" w14:textId="77777777" w:rsidR="002F22A2" w:rsidRPr="002F22A2" w:rsidRDefault="002F22A2" w:rsidP="00B01F5E">
      <w:pPr>
        <w:pStyle w:val="Prrafodelista"/>
        <w:numPr>
          <w:ilvl w:val="0"/>
          <w:numId w:val="20"/>
        </w:numPr>
        <w:jc w:val="both"/>
      </w:pPr>
      <w:r w:rsidRPr="002F22A2">
        <w:t xml:space="preserve">Mejora la penetración foliar de los nutrientes </w:t>
      </w:r>
    </w:p>
    <w:p w14:paraId="4663E3A3" w14:textId="77777777" w:rsidR="002F22A2" w:rsidRPr="002F22A2" w:rsidRDefault="002F22A2" w:rsidP="00B01F5E">
      <w:pPr>
        <w:pStyle w:val="Prrafodelista"/>
        <w:numPr>
          <w:ilvl w:val="0"/>
          <w:numId w:val="20"/>
        </w:numPr>
        <w:jc w:val="both"/>
      </w:pPr>
      <w:r w:rsidRPr="002F22A2">
        <w:t xml:space="preserve">Facilita la traslocación a través del floema </w:t>
      </w:r>
    </w:p>
    <w:p w14:paraId="0120C2B4" w14:textId="77777777" w:rsidR="002F22A2" w:rsidRPr="002F22A2" w:rsidRDefault="002F22A2" w:rsidP="00B01F5E">
      <w:pPr>
        <w:pStyle w:val="Prrafodelista"/>
        <w:numPr>
          <w:ilvl w:val="0"/>
          <w:numId w:val="20"/>
        </w:numPr>
        <w:jc w:val="both"/>
      </w:pPr>
      <w:r w:rsidRPr="002F22A2">
        <w:lastRenderedPageBreak/>
        <w:t xml:space="preserve">Dirige los nutrientes hacia frutos, brotes, raíces e inflorescencias </w:t>
      </w:r>
    </w:p>
    <w:p w14:paraId="60DA28BD" w14:textId="77777777" w:rsidR="002F22A2" w:rsidRPr="002F22A2" w:rsidRDefault="002F22A2" w:rsidP="00B01F5E">
      <w:pPr>
        <w:pStyle w:val="Prrafodelista"/>
        <w:numPr>
          <w:ilvl w:val="0"/>
          <w:numId w:val="20"/>
        </w:numPr>
        <w:jc w:val="both"/>
      </w:pPr>
      <w:r w:rsidRPr="002F22A2">
        <w:t xml:space="preserve">Mejora la fotosíntesis y el metabolismo vegetal </w:t>
      </w:r>
    </w:p>
    <w:p w14:paraId="63CF7220" w14:textId="0A5159EA" w:rsidR="002F22A2" w:rsidRPr="002F22A2" w:rsidRDefault="002F22A2" w:rsidP="002F22A2">
      <w:pPr>
        <w:jc w:val="both"/>
      </w:pPr>
      <w:r w:rsidRPr="002F22A2">
        <w:t xml:space="preserve">Además, los azúcares alcoholes presentes en la formulación actúan como </w:t>
      </w:r>
      <w:proofErr w:type="spellStart"/>
      <w:r w:rsidRPr="002F22A2">
        <w:t>osmoprotectores</w:t>
      </w:r>
      <w:proofErr w:type="spellEnd"/>
      <w:r w:rsidRPr="002F22A2">
        <w:t xml:space="preserve"> y antioxidantes, ayudando a la planta a mantener el equilibrio hídrico en condiciones de estrés</w:t>
      </w:r>
    </w:p>
    <w:p w14:paraId="5F995136" w14:textId="77777777" w:rsidR="00BF670D" w:rsidRDefault="000C7C33" w:rsidP="000C7C33">
      <w:pPr>
        <w:pStyle w:val="Ttulo1"/>
      </w:pPr>
      <w:r>
        <w:rPr>
          <w:rFonts w:ascii="Calibri" w:hAnsi="Calibri" w:cs="Calibri"/>
        </w:rPr>
        <w:t>5</w:t>
      </w:r>
      <w:r w:rsidRPr="000C7C33">
        <w:rPr>
          <w:rFonts w:ascii="Calibri" w:hAnsi="Calibri" w:cs="Calibri"/>
        </w:rPr>
        <w:t>. Beneficios agronómicos</w:t>
      </w:r>
    </w:p>
    <w:p w14:paraId="2F2AD315" w14:textId="77777777" w:rsidR="00FF423A" w:rsidRDefault="00FF423A" w:rsidP="00111A37">
      <w:pPr>
        <w:jc w:val="both"/>
        <w:rPr>
          <w:kern w:val="2"/>
          <w:lang w:eastAsia="es-ES"/>
          <w14:ligatures w14:val="standardContextual"/>
        </w:rPr>
      </w:pPr>
      <w:r>
        <w:t>La respuesta fisiológica promovida por BRANDT InVigo® se traduce en ventajas agronómicas visibles a lo largo del ciclo del cultivo.</w:t>
      </w:r>
    </w:p>
    <w:p w14:paraId="3CA5F56F" w14:textId="77777777" w:rsidR="00BF670D" w:rsidRDefault="00BF670D" w:rsidP="00BF670D">
      <w:pPr>
        <w:pStyle w:val="Prrafodelista"/>
        <w:numPr>
          <w:ilvl w:val="0"/>
          <w:numId w:val="12"/>
        </w:numPr>
      </w:pPr>
      <w:r>
        <w:t xml:space="preserve">Aumenta el </w:t>
      </w:r>
      <w:r w:rsidRPr="00AA2C0D">
        <w:rPr>
          <w:b/>
          <w:bCs/>
        </w:rPr>
        <w:t>vigor de la planta</w:t>
      </w:r>
      <w:r>
        <w:t xml:space="preserve"> y favorece el desarrollo radicular.</w:t>
      </w:r>
    </w:p>
    <w:p w14:paraId="45C569C2" w14:textId="77777777" w:rsidR="00BF670D" w:rsidRDefault="00BF670D" w:rsidP="00BF670D">
      <w:pPr>
        <w:pStyle w:val="Prrafodelista"/>
        <w:numPr>
          <w:ilvl w:val="0"/>
          <w:numId w:val="12"/>
        </w:numPr>
      </w:pPr>
      <w:r w:rsidRPr="00AA2C0D">
        <w:rPr>
          <w:b/>
          <w:bCs/>
        </w:rPr>
        <w:t>Mejora el cuajado</w:t>
      </w:r>
      <w:r>
        <w:t xml:space="preserve"> y ayuda a reducir la caída temprana de frutos.</w:t>
      </w:r>
    </w:p>
    <w:p w14:paraId="4177076D" w14:textId="77777777" w:rsidR="00BF670D" w:rsidRDefault="00BF670D" w:rsidP="00BF670D">
      <w:pPr>
        <w:pStyle w:val="Prrafodelista"/>
        <w:numPr>
          <w:ilvl w:val="0"/>
          <w:numId w:val="12"/>
        </w:numPr>
      </w:pPr>
      <w:r>
        <w:t xml:space="preserve">Favorece el </w:t>
      </w:r>
      <w:r w:rsidRPr="00AA2C0D">
        <w:rPr>
          <w:b/>
          <w:bCs/>
        </w:rPr>
        <w:t>crecimiento del fruto,</w:t>
      </w:r>
      <w:r>
        <w:t xml:space="preserve"> su tamaño final y la </w:t>
      </w:r>
      <w:r w:rsidRPr="00AA2C0D">
        <w:rPr>
          <w:b/>
          <w:bCs/>
        </w:rPr>
        <w:t>uniformidad</w:t>
      </w:r>
      <w:r>
        <w:t xml:space="preserve"> de la producción.</w:t>
      </w:r>
    </w:p>
    <w:p w14:paraId="0E64B32C" w14:textId="77777777" w:rsidR="00BF670D" w:rsidRDefault="00BF670D" w:rsidP="00BF670D">
      <w:pPr>
        <w:pStyle w:val="Prrafodelista"/>
        <w:numPr>
          <w:ilvl w:val="0"/>
          <w:numId w:val="12"/>
        </w:numPr>
      </w:pPr>
      <w:r>
        <w:t xml:space="preserve">Contribuye a una mejor </w:t>
      </w:r>
      <w:r w:rsidRPr="00AA2C0D">
        <w:rPr>
          <w:b/>
          <w:bCs/>
        </w:rPr>
        <w:t>tolerancia frente a sequía, calor y salinidad</w:t>
      </w:r>
      <w:r>
        <w:t>.</w:t>
      </w:r>
    </w:p>
    <w:p w14:paraId="483A58E7" w14:textId="77777777" w:rsidR="00BF670D" w:rsidRDefault="00BF670D" w:rsidP="00BF670D">
      <w:pPr>
        <w:pStyle w:val="Prrafodelista"/>
        <w:numPr>
          <w:ilvl w:val="0"/>
          <w:numId w:val="12"/>
        </w:numPr>
      </w:pPr>
      <w:r>
        <w:t xml:space="preserve">Facilita la </w:t>
      </w:r>
      <w:r w:rsidRPr="00AA2C0D">
        <w:rPr>
          <w:b/>
          <w:bCs/>
        </w:rPr>
        <w:t>adaptación de la planta</w:t>
      </w:r>
      <w:r>
        <w:t xml:space="preserve"> ante condiciones ambientales adversas.</w:t>
      </w:r>
    </w:p>
    <w:p w14:paraId="302C8916" w14:textId="77777777" w:rsidR="002B50F8" w:rsidRDefault="002B50F8" w:rsidP="002B50F8">
      <w:pPr>
        <w:jc w:val="both"/>
        <w:rPr>
          <w:b/>
          <w:bCs/>
        </w:rPr>
      </w:pPr>
    </w:p>
    <w:p w14:paraId="5821D435" w14:textId="3BAB280F" w:rsidR="002B50F8" w:rsidRPr="002B50F8" w:rsidRDefault="002B50F8" w:rsidP="002B50F8">
      <w:pPr>
        <w:jc w:val="both"/>
        <w:rPr>
          <w:b/>
          <w:bCs/>
        </w:rPr>
      </w:pPr>
      <w:r w:rsidRPr="002B50F8">
        <w:rPr>
          <w:b/>
          <w:bCs/>
        </w:rPr>
        <w:t xml:space="preserve">Video testimonial: </w:t>
      </w:r>
      <w:hyperlink r:id="rId10" w:history="1">
        <w:r w:rsidRPr="002B50F8">
          <w:rPr>
            <w:rStyle w:val="Hipervnculo"/>
            <w:b/>
            <w:bCs/>
          </w:rPr>
          <w:t>https://www.youtube.com/watch?v=79rO_xKKYS8</w:t>
        </w:r>
      </w:hyperlink>
    </w:p>
    <w:p w14:paraId="5E57B2AE" w14:textId="77777777" w:rsidR="00BF670D" w:rsidRDefault="00010553" w:rsidP="00010553">
      <w:pPr>
        <w:pStyle w:val="Ttulo1"/>
      </w:pPr>
      <w:r>
        <w:rPr>
          <w:rFonts w:ascii="Calibri" w:hAnsi="Calibri" w:cs="Calibri"/>
        </w:rPr>
        <w:t>6</w:t>
      </w:r>
      <w:r w:rsidRPr="00010553">
        <w:rPr>
          <w:rFonts w:ascii="Calibri" w:hAnsi="Calibri" w:cs="Calibri"/>
        </w:rPr>
        <w:t>. Aplicación en campo</w:t>
      </w:r>
    </w:p>
    <w:p w14:paraId="0CE05EAA" w14:textId="5FE05C97" w:rsidR="00BF670D" w:rsidRDefault="00BF670D" w:rsidP="007E5030">
      <w:pPr>
        <w:jc w:val="both"/>
        <w:rPr>
          <w:kern w:val="2"/>
          <w:lang w:eastAsia="es-ES"/>
          <w14:ligatures w14:val="standardContextual"/>
        </w:rPr>
      </w:pPr>
      <w:r>
        <w:t xml:space="preserve">BRANDT InVigo® </w:t>
      </w:r>
      <w:r w:rsidR="00111A37">
        <w:t>está autorizado para</w:t>
      </w:r>
      <w:r w:rsidR="007E5030">
        <w:t xml:space="preserve"> </w:t>
      </w:r>
      <w:r w:rsidR="009E604F">
        <w:t>un gran número de cultivos</w:t>
      </w:r>
      <w:r>
        <w:t>. Los momentos recomendados de aplicación se sitúan en etapas vegetativas tempranas, prefloración, cuajado e inicio del engorde del fruto, adaptando siempre el programa a las necesidades del cultivo.</w:t>
      </w:r>
    </w:p>
    <w:tbl>
      <w:tblPr>
        <w:tblStyle w:val="Tablaconcuadrcula4-nfasis1"/>
        <w:tblW w:w="5000" w:type="pct"/>
        <w:tblLook w:val="04A0" w:firstRow="1" w:lastRow="0" w:firstColumn="1" w:lastColumn="0" w:noHBand="0" w:noVBand="1"/>
      </w:tblPr>
      <w:tblGrid>
        <w:gridCol w:w="4241"/>
        <w:gridCol w:w="4253"/>
      </w:tblGrid>
      <w:tr w:rsidR="000059AD" w14:paraId="2FE7FE1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1251B"/>
            <w:hideMark/>
          </w:tcPr>
          <w:p w14:paraId="509979B1" w14:textId="77777777" w:rsidR="000059AD" w:rsidRDefault="000059AD">
            <w:pPr>
              <w:spacing w:after="160"/>
              <w:rPr>
                <w:kern w:val="2"/>
                <w:lang w:eastAsia="es-ES"/>
                <w14:ligatures w14:val="standardContextual"/>
              </w:rPr>
            </w:pPr>
            <w:r>
              <w:rPr>
                <w:color w:val="FFFFFF"/>
              </w:rPr>
              <w:t>Vía de aplicación</w:t>
            </w:r>
          </w:p>
        </w:tc>
        <w:tc>
          <w:tcPr>
            <w:tcW w:w="0" w:type="auto"/>
            <w:shd w:val="clear" w:color="auto" w:fill="E1251B"/>
            <w:hideMark/>
          </w:tcPr>
          <w:p w14:paraId="2ADE5ECF" w14:textId="77777777" w:rsidR="000059AD" w:rsidRDefault="000059AD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Dosis orientativa</w:t>
            </w:r>
          </w:p>
        </w:tc>
      </w:tr>
      <w:tr w:rsidR="000059AD" w14:paraId="762A01E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/>
            <w:hideMark/>
          </w:tcPr>
          <w:p w14:paraId="720ACE54" w14:textId="77777777" w:rsidR="000059AD" w:rsidRDefault="000059AD">
            <w:pPr>
              <w:spacing w:after="160"/>
            </w:pPr>
            <w:r>
              <w:t>Aplicación foliar</w:t>
            </w:r>
          </w:p>
        </w:tc>
        <w:tc>
          <w:tcPr>
            <w:tcW w:w="0" w:type="auto"/>
            <w:shd w:val="clear" w:color="auto" w:fill="F2F2F2"/>
            <w:hideMark/>
          </w:tcPr>
          <w:p w14:paraId="239A6BE5" w14:textId="02B056F0" w:rsidR="000059AD" w:rsidRDefault="009E604F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 w:rsidR="000059AD">
              <w:t xml:space="preserve"> L/ha</w:t>
            </w:r>
          </w:p>
        </w:tc>
      </w:tr>
    </w:tbl>
    <w:p w14:paraId="2615079D" w14:textId="77777777" w:rsidR="00BF670D" w:rsidRDefault="00BF670D">
      <w:pPr>
        <w:rPr>
          <w:kern w:val="2"/>
          <w:lang w:eastAsia="es-ES"/>
          <w14:ligatures w14:val="standardContextual"/>
        </w:rPr>
      </w:pPr>
    </w:p>
    <w:p w14:paraId="232E1CB7" w14:textId="77777777" w:rsidR="00BF670D" w:rsidRDefault="00282CEC" w:rsidP="00E3710F">
      <w:pPr>
        <w:pStyle w:val="Ttulo1"/>
      </w:pPr>
      <w:r>
        <w:rPr>
          <w:b/>
          <w:bCs/>
        </w:rPr>
        <w:t>7. Casos de éxito</w:t>
      </w:r>
    </w:p>
    <w:p w14:paraId="6FE07B5C" w14:textId="77777777" w:rsidR="001D0585" w:rsidRDefault="001D0585" w:rsidP="007E5030">
      <w:pPr>
        <w:jc w:val="both"/>
        <w:rPr>
          <w:kern w:val="2"/>
          <w:lang w:eastAsia="es-ES"/>
          <w14:ligatures w14:val="standardContextual"/>
        </w:rPr>
      </w:pPr>
      <w:r>
        <w:t>Los siguientes casos de éxito recogen experiencias de campo realizadas en distintos cultivos y condiciones agronómicas. En cada caso se especifica si los resultados corresponden a BRANDT InVigo® aplicado de forma individual o a un programa combinado con otras soluciones BRANDT.</w:t>
      </w:r>
    </w:p>
    <w:p w14:paraId="0C3BE7AE" w14:textId="77777777" w:rsidR="00E3710F" w:rsidRDefault="00E3710F">
      <w:pPr>
        <w:pStyle w:val="Ttulo2"/>
        <w:rPr>
          <w:kern w:val="2"/>
          <w:lang w:eastAsia="es-ES"/>
          <w14:ligatures w14:val="standardContextual"/>
        </w:rPr>
      </w:pPr>
      <w:r>
        <w:t>7.1. Melón y sandía</w:t>
      </w:r>
    </w:p>
    <w:p w14:paraId="3F3F3A9C" w14:textId="77777777" w:rsidR="007E5030" w:rsidRDefault="00282CEC" w:rsidP="007E5030">
      <w:pPr>
        <w:jc w:val="both"/>
        <w:divId w:val="802312984"/>
      </w:pPr>
      <w:r>
        <w:t xml:space="preserve">Los ensayos realizados en explotaciones de Almería muestran el comportamiento de BRANDT InVigo® y de distintos programas nutricionales BRANDT en </w:t>
      </w:r>
      <w:r w:rsidR="002410F1">
        <w:t>condiciones</w:t>
      </w:r>
      <w:r>
        <w:t xml:space="preserve"> reales de cultivo. </w:t>
      </w:r>
    </w:p>
    <w:p w14:paraId="333A844B" w14:textId="5372A8E1" w:rsidR="00BF670D" w:rsidRDefault="00282CEC" w:rsidP="007E5030">
      <w:pPr>
        <w:jc w:val="both"/>
        <w:divId w:val="802312984"/>
      </w:pPr>
      <w:r>
        <w:t xml:space="preserve">Los casos seleccionados permiten observar </w:t>
      </w:r>
      <w:r w:rsidR="002410F1">
        <w:t>efectos sobre el</w:t>
      </w:r>
      <w:r>
        <w:t xml:space="preserve"> cuajado, la reducción de abortos, la recuperación frente al estrés y la producción. </w:t>
      </w:r>
    </w:p>
    <w:p w14:paraId="1A86D31D" w14:textId="77777777" w:rsidR="00AA0413" w:rsidRDefault="00AA0413">
      <w:pPr>
        <w:pStyle w:val="Ttulo2"/>
        <w:divId w:val="802312984"/>
        <w:rPr>
          <w:rFonts w:asciiTheme="minorHAnsi" w:hAnsiTheme="minorHAnsi" w:cstheme="minorBidi"/>
          <w:kern w:val="2"/>
          <w:sz w:val="36"/>
          <w:szCs w:val="36"/>
          <w:lang w:eastAsia="es-ES"/>
          <w14:ligatures w14:val="standardContextual"/>
        </w:rPr>
      </w:pPr>
      <w:r>
        <w:rPr>
          <w:rFonts w:asciiTheme="minorHAnsi" w:hAnsiTheme="minorHAnsi" w:cstheme="minorBidi"/>
        </w:rPr>
        <w:lastRenderedPageBreak/>
        <w:t xml:space="preserve">Sandía </w:t>
      </w:r>
      <w:proofErr w:type="spellStart"/>
      <w:r>
        <w:rPr>
          <w:rFonts w:asciiTheme="minorHAnsi" w:hAnsiTheme="minorHAnsi" w:cstheme="minorBidi"/>
        </w:rPr>
        <w:t>Cashmina</w:t>
      </w:r>
      <w:proofErr w:type="spellEnd"/>
      <w:r>
        <w:rPr>
          <w:rFonts w:asciiTheme="minorHAnsi" w:hAnsiTheme="minorHAnsi" w:cstheme="minorBidi"/>
        </w:rPr>
        <w:t>: más cuajado y menos abortos</w:t>
      </w:r>
    </w:p>
    <w:p w14:paraId="67C13303" w14:textId="77777777" w:rsidR="00330E9D" w:rsidRDefault="00AA0413">
      <w:pPr>
        <w:divId w:val="802312984"/>
      </w:pPr>
      <w:r>
        <w:rPr>
          <w:b/>
          <w:bCs/>
        </w:rPr>
        <w:t>Localización:</w:t>
      </w:r>
      <w:r>
        <w:t xml:space="preserve"> La Curva, Adra (Almería). </w:t>
      </w:r>
    </w:p>
    <w:p w14:paraId="134B2D98" w14:textId="77777777" w:rsidR="00330E9D" w:rsidRDefault="00AA0413">
      <w:pPr>
        <w:divId w:val="802312984"/>
      </w:pPr>
      <w:r>
        <w:rPr>
          <w:b/>
          <w:bCs/>
        </w:rPr>
        <w:t>Campaña:</w:t>
      </w:r>
      <w:r>
        <w:t xml:space="preserve"> 2020. </w:t>
      </w:r>
    </w:p>
    <w:p w14:paraId="415DB40F" w14:textId="79CEF2F2" w:rsidR="00AA0413" w:rsidRDefault="00AA0413">
      <w:pPr>
        <w:divId w:val="802312984"/>
        <w:rPr>
          <w:rFonts w:ascii="Calibri" w:hAnsi="Calibri" w:cs="Calibri"/>
        </w:rPr>
      </w:pPr>
      <w:r>
        <w:rPr>
          <w:b/>
          <w:bCs/>
        </w:rPr>
        <w:t>Condiciones:</w:t>
      </w:r>
      <w:r>
        <w:t xml:space="preserve"> invernadero de 10.000 m².</w:t>
      </w:r>
    </w:p>
    <w:p w14:paraId="42D189F4" w14:textId="2667B85E" w:rsidR="00AA0413" w:rsidRDefault="00AA0413" w:rsidP="00330E9D">
      <w:pPr>
        <w:jc w:val="both"/>
        <w:divId w:val="802312984"/>
      </w:pPr>
      <w:r>
        <w:t>El ensayo evaluó un programa foliar con BRANDT InVigo® a 0,5 L/</w:t>
      </w:r>
      <w:proofErr w:type="spellStart"/>
      <w:r>
        <w:t>ha</w:t>
      </w:r>
      <w:proofErr w:type="spellEnd"/>
      <w:r>
        <w:t xml:space="preserve"> y BRANDT</w:t>
      </w:r>
      <w:r w:rsidR="008F76AA">
        <w:rPr>
          <w:b/>
          <w:bCs/>
        </w:rPr>
        <w:t>®</w:t>
      </w:r>
      <w:r>
        <w:t xml:space="preserve"> Manni-Plex® Ca a 2 L/</w:t>
      </w:r>
      <w:proofErr w:type="spellStart"/>
      <w:r>
        <w:t>ha</w:t>
      </w:r>
      <w:proofErr w:type="spellEnd"/>
      <w:r>
        <w:t>, aplicado en prefloración y tras la retirada de la colmena. El objetivo fue mejorar el cuajado, reducir los abortos y aumentar la proporción de frutos comerciales.</w:t>
      </w:r>
    </w:p>
    <w:p w14:paraId="7BA61BB2" w14:textId="77777777" w:rsidR="00AA0413" w:rsidRDefault="00AA0413" w:rsidP="00330E9D">
      <w:pPr>
        <w:jc w:val="both"/>
        <w:divId w:val="802312984"/>
      </w:pPr>
      <w:r>
        <w:rPr>
          <w:b/>
          <w:bCs/>
        </w:rPr>
        <w:t>Resultado destacado:</w:t>
      </w:r>
      <w:r>
        <w:t xml:space="preserve"> los abortos se redujeron del 19,44 % en la zona no tratada al 2,94 % en la tratada. También aumentó la presencia de frutos entre 6 y 7 kg y de calibres superiores a 7 kg, mientras disminuyó el porcentaje de piezas de menos de 4 kg.</w:t>
      </w:r>
    </w:p>
    <w:p w14:paraId="2E817580" w14:textId="7BA6B853" w:rsidR="00AA0413" w:rsidRDefault="00AA0413">
      <w:pPr>
        <w:divId w:val="802312984"/>
      </w:pPr>
      <w:r>
        <w:rPr>
          <w:i/>
          <w:iCs/>
        </w:rPr>
        <w:t>Resultado correspondiente al programa conjunto BRANDT InVigo® + BRANDT</w:t>
      </w:r>
      <w:r w:rsidR="008F76AA">
        <w:rPr>
          <w:b/>
          <w:bCs/>
        </w:rPr>
        <w:t>®</w:t>
      </w:r>
      <w:r>
        <w:rPr>
          <w:i/>
          <w:iCs/>
        </w:rPr>
        <w:t xml:space="preserve"> Manni-Plex® Ca.</w:t>
      </w:r>
    </w:p>
    <w:p w14:paraId="37857077" w14:textId="77777777" w:rsidR="00AA0413" w:rsidRDefault="00AA0413">
      <w:pPr>
        <w:pStyle w:val="Ttulo2"/>
        <w:divId w:val="802312984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Melón Piel de Sapo: respuesta ante tres episodios extremos de estrés</w:t>
      </w:r>
    </w:p>
    <w:p w14:paraId="775D0331" w14:textId="77777777" w:rsidR="00330E9D" w:rsidRDefault="00AA0413" w:rsidP="00330E9D">
      <w:pPr>
        <w:jc w:val="both"/>
        <w:divId w:val="802312984"/>
      </w:pPr>
      <w:r>
        <w:rPr>
          <w:b/>
          <w:bCs/>
        </w:rPr>
        <w:t>Localización:</w:t>
      </w:r>
      <w:r>
        <w:t xml:space="preserve"> Matagorda (Almería). </w:t>
      </w:r>
    </w:p>
    <w:p w14:paraId="149D23AF" w14:textId="77777777" w:rsidR="00330E9D" w:rsidRDefault="00AA0413" w:rsidP="00330E9D">
      <w:pPr>
        <w:jc w:val="both"/>
        <w:divId w:val="802312984"/>
      </w:pPr>
      <w:r>
        <w:rPr>
          <w:b/>
          <w:bCs/>
        </w:rPr>
        <w:t>Campaña:</w:t>
      </w:r>
      <w:r>
        <w:t xml:space="preserve"> 2022. </w:t>
      </w:r>
    </w:p>
    <w:p w14:paraId="11EE11FD" w14:textId="77777777" w:rsidR="00330E9D" w:rsidRDefault="00AA0413" w:rsidP="00330E9D">
      <w:pPr>
        <w:jc w:val="both"/>
        <w:divId w:val="802312984"/>
      </w:pPr>
      <w:r>
        <w:rPr>
          <w:b/>
          <w:bCs/>
        </w:rPr>
        <w:t>Variedad:</w:t>
      </w:r>
      <w:r>
        <w:t xml:space="preserve"> Linaje. </w:t>
      </w:r>
    </w:p>
    <w:p w14:paraId="15384B37" w14:textId="6B6EBA4D" w:rsidR="00AA0413" w:rsidRDefault="00AA0413" w:rsidP="00330E9D">
      <w:pPr>
        <w:jc w:val="both"/>
        <w:divId w:val="802312984"/>
        <w:rPr>
          <w:rFonts w:ascii="Calibri" w:hAnsi="Calibri" w:cs="Calibri"/>
        </w:rPr>
      </w:pPr>
      <w:r>
        <w:rPr>
          <w:b/>
          <w:bCs/>
        </w:rPr>
        <w:t>Condiciones:</w:t>
      </w:r>
      <w:r>
        <w:t xml:space="preserve"> invernadero de 10.000 m².</w:t>
      </w:r>
    </w:p>
    <w:p w14:paraId="2BAA497C" w14:textId="4822A09B" w:rsidR="00AA0413" w:rsidRDefault="00AA0413" w:rsidP="00330E9D">
      <w:pPr>
        <w:jc w:val="both"/>
        <w:divId w:val="802312984"/>
      </w:pPr>
      <w:r>
        <w:t>El cultivo atravesó dos episodios de calima y, entre ambos, una semana de frío, lluvia y baja luminosidad. Estas condiciones provocaron paradas vegetativas, pérdida de frutos recién cuajados y dificultades para mantener la floración. La estrategia combinó BRANDT InVigo® con BRANDT</w:t>
      </w:r>
      <w:r w:rsidR="008F76AA">
        <w:rPr>
          <w:b/>
          <w:bCs/>
        </w:rPr>
        <w:t>®</w:t>
      </w:r>
      <w:r>
        <w:t xml:space="preserve"> Manni-Plex® B</w:t>
      </w:r>
      <w:r w:rsidR="002C0F86">
        <w:t xml:space="preserve"> </w:t>
      </w:r>
      <w:proofErr w:type="spellStart"/>
      <w:r>
        <w:t>Moly</w:t>
      </w:r>
      <w:proofErr w:type="spellEnd"/>
      <w:r>
        <w:t xml:space="preserve"> y BRANDT</w:t>
      </w:r>
      <w:r w:rsidR="008F76AA">
        <w:rPr>
          <w:b/>
          <w:bCs/>
        </w:rPr>
        <w:t>®</w:t>
      </w:r>
      <w:r>
        <w:t xml:space="preserve"> Plant Star, además de correcciones nutricionales.</w:t>
      </w:r>
    </w:p>
    <w:p w14:paraId="3ED1DEFB" w14:textId="77777777" w:rsidR="00AA0413" w:rsidRDefault="00AA0413" w:rsidP="00330E9D">
      <w:pPr>
        <w:jc w:val="both"/>
        <w:divId w:val="802312984"/>
      </w:pPr>
      <w:r>
        <w:rPr>
          <w:b/>
          <w:bCs/>
        </w:rPr>
        <w:t>Resultado destacado:</w:t>
      </w:r>
      <w:r>
        <w:t xml:space="preserve"> el cultivo consiguió recuperar una tercera floración, completar el cuajado y alcanzar una producción total de 4,4 kg/m², de los que 3,5 kg/m² correspondieron a melón de primera categoría. La cosecha superó los 16 </w:t>
      </w:r>
      <w:proofErr w:type="spellStart"/>
      <w:r>
        <w:t>°Brix</w:t>
      </w:r>
      <w:proofErr w:type="spellEnd"/>
      <w:r>
        <w:t>.</w:t>
      </w:r>
    </w:p>
    <w:p w14:paraId="14642139" w14:textId="77777777" w:rsidR="00AA0413" w:rsidRDefault="00AA0413">
      <w:pPr>
        <w:divId w:val="802312984"/>
      </w:pPr>
      <w:r>
        <w:rPr>
          <w:i/>
          <w:iCs/>
        </w:rPr>
        <w:t>Resultado correspondiente a un programa integrado de productos BRANDT.</w:t>
      </w:r>
    </w:p>
    <w:p w14:paraId="605B399C" w14:textId="77777777" w:rsidR="00AA0413" w:rsidRDefault="00AA0413">
      <w:pPr>
        <w:pStyle w:val="Ttulo2"/>
        <w:divId w:val="802312984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Sandía frente al frío: mayor producción con un programa nutricional completo</w:t>
      </w:r>
    </w:p>
    <w:p w14:paraId="05C383F3" w14:textId="77777777" w:rsidR="00330E9D" w:rsidRDefault="00282CEC" w:rsidP="00C279F8">
      <w:pPr>
        <w:divId w:val="802312984"/>
      </w:pPr>
      <w:r>
        <w:rPr>
          <w:b/>
          <w:bCs/>
        </w:rPr>
        <w:t>Localización:</w:t>
      </w:r>
      <w:r>
        <w:t xml:space="preserve"> Adra (Almería). </w:t>
      </w:r>
    </w:p>
    <w:p w14:paraId="3A449A37" w14:textId="7534CDAE" w:rsidR="00BF670D" w:rsidRDefault="00282CEC" w:rsidP="00031C92">
      <w:pPr>
        <w:jc w:val="both"/>
        <w:divId w:val="802312984"/>
      </w:pPr>
      <w:r>
        <w:rPr>
          <w:b/>
          <w:bCs/>
        </w:rPr>
        <w:t>Reto</w:t>
      </w:r>
      <w:r w:rsidR="008A0F63">
        <w:rPr>
          <w:b/>
          <w:bCs/>
        </w:rPr>
        <w:t xml:space="preserve"> agronómico:</w:t>
      </w:r>
      <w:r w:rsidR="008A0F63">
        <w:t xml:space="preserve"> la</w:t>
      </w:r>
      <w:r>
        <w:t xml:space="preserve"> floración </w:t>
      </w:r>
      <w:r w:rsidR="008A0F63">
        <w:t>coincidió</w:t>
      </w:r>
      <w:r>
        <w:t xml:space="preserve"> con una semana de temperaturas máximas próximas a 9 °C, cielos nublados y días cortos.</w:t>
      </w:r>
    </w:p>
    <w:p w14:paraId="5F720812" w14:textId="77777777" w:rsidR="00AA0413" w:rsidRDefault="00AA0413" w:rsidP="00031C92">
      <w:pPr>
        <w:jc w:val="both"/>
        <w:divId w:val="802312984"/>
      </w:pPr>
      <w:r>
        <w:t>El programa buscó preparar la planta, favorecer una floración fuerte y mantener el desarrollo y el engorde del fruto en condiciones térmicas desfavorables.</w:t>
      </w:r>
    </w:p>
    <w:p w14:paraId="34AC8743" w14:textId="77777777" w:rsidR="00AA0413" w:rsidRDefault="00AA0413" w:rsidP="00031C92">
      <w:pPr>
        <w:jc w:val="both"/>
        <w:divId w:val="802312984"/>
      </w:pPr>
      <w:r>
        <w:rPr>
          <w:b/>
          <w:bCs/>
        </w:rPr>
        <w:lastRenderedPageBreak/>
        <w:t>Resultado destacado:</w:t>
      </w:r>
      <w:r>
        <w:t xml:space="preserve"> el invernadero tratado alcanzó 55.000 kg/ha, frente a 47.000 kg/ha y 40.000 kg/ha en las otras dos zonas comparadas. La diferencia fue de 0,8 a 1,5 kg/m².</w:t>
      </w:r>
    </w:p>
    <w:p w14:paraId="59CDDE52" w14:textId="5FF65284" w:rsidR="00AA0413" w:rsidRDefault="00AA0413">
      <w:pPr>
        <w:divId w:val="802312984"/>
      </w:pPr>
      <w:r>
        <w:rPr>
          <w:i/>
          <w:iCs/>
        </w:rPr>
        <w:t>Resultado correspondiente al programa nutricional completo</w:t>
      </w:r>
      <w:r w:rsidR="006B666D">
        <w:rPr>
          <w:i/>
          <w:iCs/>
        </w:rPr>
        <w:t xml:space="preserve"> de productos BRANDT.</w:t>
      </w:r>
    </w:p>
    <w:p w14:paraId="49D6C67B" w14:textId="77777777" w:rsidR="00AA0413" w:rsidRDefault="00AA0413">
      <w:pPr>
        <w:pStyle w:val="Ttulo2"/>
        <w:divId w:val="802312984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Sandía Fenway: recuperación de una plantación con problemas de establecimiento</w:t>
      </w:r>
    </w:p>
    <w:p w14:paraId="1F704ED8" w14:textId="77777777" w:rsidR="00031C92" w:rsidRDefault="00AA0413">
      <w:pPr>
        <w:divId w:val="802312984"/>
      </w:pPr>
      <w:r>
        <w:rPr>
          <w:b/>
          <w:bCs/>
        </w:rPr>
        <w:t>Localización:</w:t>
      </w:r>
      <w:r>
        <w:t xml:space="preserve"> Tarambana, El Ejido (Almería). </w:t>
      </w:r>
    </w:p>
    <w:p w14:paraId="7577C4FB" w14:textId="77777777" w:rsidR="00031C92" w:rsidRDefault="00AA0413">
      <w:pPr>
        <w:divId w:val="802312984"/>
      </w:pPr>
      <w:r>
        <w:rPr>
          <w:b/>
          <w:bCs/>
        </w:rPr>
        <w:t>Campaña:</w:t>
      </w:r>
      <w:r>
        <w:t xml:space="preserve"> 2022. </w:t>
      </w:r>
    </w:p>
    <w:p w14:paraId="4F893C97" w14:textId="328D6566" w:rsidR="00AA0413" w:rsidRDefault="00AA0413">
      <w:pPr>
        <w:divId w:val="802312984"/>
        <w:rPr>
          <w:rFonts w:ascii="Calibri" w:hAnsi="Calibri" w:cs="Calibri"/>
        </w:rPr>
      </w:pPr>
      <w:r>
        <w:rPr>
          <w:b/>
          <w:bCs/>
        </w:rPr>
        <w:t>Superficie:</w:t>
      </w:r>
      <w:r>
        <w:t xml:space="preserve"> 5.000 m².</w:t>
      </w:r>
    </w:p>
    <w:p w14:paraId="5EE659E0" w14:textId="77777777" w:rsidR="00AA0413" w:rsidRDefault="00AA0413" w:rsidP="00031C92">
      <w:pPr>
        <w:jc w:val="both"/>
        <w:divId w:val="802312984"/>
      </w:pPr>
      <w:r>
        <w:t>La plantación presentaba serias dificultades de establecimiento. Se realizaron tratamientos semanales con BRANDT InVigo® y Falcon Humic para favorecer la salida del estrés, el cuajado y la recuperación productiva de la finca.</w:t>
      </w:r>
    </w:p>
    <w:p w14:paraId="4612CB3A" w14:textId="77777777" w:rsidR="00AA0413" w:rsidRDefault="00AA0413" w:rsidP="00031C92">
      <w:pPr>
        <w:jc w:val="both"/>
        <w:divId w:val="802312984"/>
      </w:pPr>
      <w:r>
        <w:rPr>
          <w:b/>
          <w:bCs/>
        </w:rPr>
        <w:t>Resultado destacado:</w:t>
      </w:r>
      <w:r>
        <w:t xml:space="preserve"> la explotación alcanzó 3,5 kg/m² y una producción total de 17.500 kg.</w:t>
      </w:r>
    </w:p>
    <w:p w14:paraId="5A0B5CA4" w14:textId="77777777" w:rsidR="00AA0413" w:rsidRDefault="00AA0413">
      <w:pPr>
        <w:divId w:val="802312984"/>
      </w:pPr>
      <w:r>
        <w:rPr>
          <w:i/>
          <w:iCs/>
        </w:rPr>
        <w:t>Resultado correspondiente al tratamiento conjunto BRANDT InVigo® + Falcon Humic.</w:t>
      </w:r>
    </w:p>
    <w:p w14:paraId="68D2DF08" w14:textId="77777777" w:rsidR="00BF670D" w:rsidRDefault="00BF670D">
      <w:pPr>
        <w:rPr>
          <w:kern w:val="2"/>
          <w:lang w:eastAsia="es-ES"/>
          <w14:ligatures w14:val="standardContextual"/>
        </w:rPr>
      </w:pPr>
    </w:p>
    <w:p w14:paraId="7D6EFADD" w14:textId="77777777" w:rsidR="00BF670D" w:rsidRDefault="00491688" w:rsidP="00491688">
      <w:pPr>
        <w:pStyle w:val="Ttulo2"/>
        <w:spacing w:before="360"/>
      </w:pPr>
      <w:r>
        <w:t>7.2. Arroz</w:t>
      </w:r>
    </w:p>
    <w:p w14:paraId="1533B911" w14:textId="77777777" w:rsidR="00BF670D" w:rsidRDefault="00282CEC" w:rsidP="00031C92">
      <w:pPr>
        <w:jc w:val="both"/>
      </w:pPr>
      <w:r>
        <w:t xml:space="preserve">Una demostración de campo </w:t>
      </w:r>
      <w:r w:rsidR="00392E41">
        <w:t>comparó</w:t>
      </w:r>
      <w:r>
        <w:t xml:space="preserve"> la respuesta de </w:t>
      </w:r>
      <w:r w:rsidR="00392E41">
        <w:t xml:space="preserve">dos parcelas de </w:t>
      </w:r>
      <w:r>
        <w:t xml:space="preserve">arroz </w:t>
      </w:r>
      <w:r w:rsidR="00392E41">
        <w:t>sometidas</w:t>
      </w:r>
      <w:r>
        <w:t xml:space="preserve"> a riego con elevada salinidad, una condición que dificulta la absorción de agua y nutrientes y puede reducir el rendimiento en grano.</w:t>
      </w:r>
    </w:p>
    <w:p w14:paraId="4DAA8450" w14:textId="77777777" w:rsidR="00BF670D" w:rsidRDefault="00282CEC" w:rsidP="00FE561D">
      <w:pPr>
        <w:pStyle w:val="Ttulo2"/>
      </w:pPr>
      <w:r>
        <w:t>Arroz Puntal: respuesta frente a la salinidad</w:t>
      </w:r>
    </w:p>
    <w:p w14:paraId="6078AC82" w14:textId="77777777" w:rsidR="00031C92" w:rsidRDefault="000610F0">
      <w:r>
        <w:rPr>
          <w:b/>
          <w:bCs/>
        </w:rPr>
        <w:t>Localización:</w:t>
      </w:r>
      <w:r>
        <w:t xml:space="preserve"> </w:t>
      </w:r>
      <w:proofErr w:type="spellStart"/>
      <w:r>
        <w:t>Cantaritas</w:t>
      </w:r>
      <w:proofErr w:type="spellEnd"/>
      <w:r>
        <w:t xml:space="preserve">, Isla Mayor, margen derecha del Guadalquivir (Sevilla). </w:t>
      </w:r>
    </w:p>
    <w:p w14:paraId="6BC86F1D" w14:textId="77777777" w:rsidR="00031C92" w:rsidRDefault="000610F0">
      <w:r>
        <w:rPr>
          <w:b/>
          <w:bCs/>
        </w:rPr>
        <w:t>Campaña:</w:t>
      </w:r>
      <w:r>
        <w:t xml:space="preserve"> 2020. </w:t>
      </w:r>
    </w:p>
    <w:p w14:paraId="01A39000" w14:textId="107ECE99" w:rsidR="000610F0" w:rsidRDefault="000610F0">
      <w:pPr>
        <w:rPr>
          <w:kern w:val="2"/>
          <w:lang w:eastAsia="es-ES"/>
          <w14:ligatures w14:val="standardContextual"/>
        </w:rPr>
      </w:pPr>
      <w:r>
        <w:rPr>
          <w:b/>
          <w:bCs/>
        </w:rPr>
        <w:t>Variedad:</w:t>
      </w:r>
      <w:r>
        <w:t xml:space="preserve"> Puntal, de grano largo.</w:t>
      </w:r>
    </w:p>
    <w:p w14:paraId="34015EDD" w14:textId="3446655F" w:rsidR="00BF670D" w:rsidRDefault="00282CEC" w:rsidP="00106F99">
      <w:r>
        <w:t xml:space="preserve">La demostración comparó dos parcelas sembradas y abonadas de forma idéntica, </w:t>
      </w:r>
      <w:r w:rsidR="00716B79">
        <w:t xml:space="preserve">con niveles </w:t>
      </w:r>
      <w:r>
        <w:t>de salinidad</w:t>
      </w:r>
      <w:r w:rsidR="00716B79">
        <w:t xml:space="preserve"> de hasta 2–2,5 g/L al</w:t>
      </w:r>
      <w:r>
        <w:t xml:space="preserve"> inicio de la campaña</w:t>
      </w:r>
      <w:r w:rsidR="00716B79">
        <w:t>. BRANDT InVigo® se aplicó dos veces a 0,75 L/ha: aproximadamente a los 18 días y en estado de zurrón avanzado.</w:t>
      </w:r>
    </w:p>
    <w:p w14:paraId="2B868D2D" w14:textId="77777777" w:rsidR="00BF670D" w:rsidRDefault="00282CEC" w:rsidP="00451953">
      <w:r>
        <w:rPr>
          <w:b/>
          <w:bCs/>
        </w:rPr>
        <w:t>Resultado destacado:</w:t>
      </w:r>
      <w:r>
        <w:t xml:space="preserve"> la parcela tratada </w:t>
      </w:r>
      <w:r w:rsidR="005A59FF">
        <w:t>registró</w:t>
      </w:r>
      <w:r>
        <w:t xml:space="preserve"> una producción </w:t>
      </w:r>
      <w:r w:rsidR="005A59FF">
        <w:t xml:space="preserve">total </w:t>
      </w:r>
      <w:r>
        <w:t xml:space="preserve">de 7.012 kg, frente a 6.080 kg en la parcela testigo. La diferencia </w:t>
      </w:r>
      <w:r w:rsidR="005A59FF">
        <w:t xml:space="preserve">absoluta </w:t>
      </w:r>
      <w:r>
        <w:t xml:space="preserve">fue de 932 kg, un 15,3 % </w:t>
      </w:r>
      <w:r w:rsidR="005A59FF">
        <w:t xml:space="preserve">más </w:t>
      </w:r>
      <w:r>
        <w:t xml:space="preserve">respecto </w:t>
      </w:r>
      <w:r w:rsidR="005A59FF">
        <w:t>a la cifra comunicada para el</w:t>
      </w:r>
      <w:r>
        <w:t xml:space="preserve"> control.</w:t>
      </w:r>
    </w:p>
    <w:p w14:paraId="123F23A0" w14:textId="77777777" w:rsidR="00BF670D" w:rsidRDefault="00D53613" w:rsidP="00827D02">
      <w:r>
        <w:rPr>
          <w:i/>
          <w:iCs/>
        </w:rPr>
        <w:t>Demostración de campo con dos parcelas; la documentación no especifica la superficie ni el rendimiento por hectárea.</w:t>
      </w:r>
    </w:p>
    <w:p w14:paraId="41C2E128" w14:textId="77777777" w:rsidR="00491688" w:rsidRDefault="00491688">
      <w:pPr>
        <w:pStyle w:val="Ttulo2"/>
        <w:rPr>
          <w:kern w:val="2"/>
          <w:lang w:eastAsia="es-ES"/>
          <w14:ligatures w14:val="standardContextual"/>
        </w:rPr>
      </w:pPr>
      <w:r>
        <w:lastRenderedPageBreak/>
        <w:t>7.3. Fresa</w:t>
      </w:r>
    </w:p>
    <w:p w14:paraId="0E7ACECC" w14:textId="77777777" w:rsidR="00EC68A4" w:rsidRDefault="00EC68A4" w:rsidP="00031C92">
      <w:pPr>
        <w:jc w:val="both"/>
        <w:divId w:val="177157972"/>
        <w:rPr>
          <w:kern w:val="2"/>
          <w:lang w:eastAsia="es-ES"/>
          <w14:ligatures w14:val="standardContextual"/>
        </w:rPr>
      </w:pPr>
      <w:r>
        <w:t xml:space="preserve">Un ensayo realizado por </w:t>
      </w:r>
      <w:proofErr w:type="spellStart"/>
      <w:r>
        <w:t>Ensagro</w:t>
      </w:r>
      <w:proofErr w:type="spellEnd"/>
      <w:r>
        <w:t xml:space="preserve"> evaluó la eficacia de BRANDT InVigo® solo y en combinación con BRANDT Manni-Plex® Ca sobre la productividad y la calidad de la fresa.</w:t>
      </w:r>
    </w:p>
    <w:p w14:paraId="79A78956" w14:textId="77777777" w:rsidR="00BF670D" w:rsidRDefault="00282CEC" w:rsidP="00062507">
      <w:pPr>
        <w:pStyle w:val="Ttulo2"/>
        <w:divId w:val="177157972"/>
      </w:pPr>
      <w:r>
        <w:t>Fresa Cleopatra: más rendimiento y calidad</w:t>
      </w:r>
    </w:p>
    <w:p w14:paraId="6C29423D" w14:textId="77777777" w:rsidR="00031C92" w:rsidRDefault="00EC68A4">
      <w:pPr>
        <w:divId w:val="177157972"/>
      </w:pPr>
      <w:r>
        <w:rPr>
          <w:b/>
          <w:bCs/>
        </w:rPr>
        <w:t>Localización:</w:t>
      </w:r>
      <w:r>
        <w:t xml:space="preserve"> El Rocío (Huelva). </w:t>
      </w:r>
    </w:p>
    <w:p w14:paraId="59AB5DFB" w14:textId="77777777" w:rsidR="00031C92" w:rsidRDefault="00EC68A4">
      <w:pPr>
        <w:divId w:val="177157972"/>
      </w:pPr>
      <w:r>
        <w:rPr>
          <w:b/>
          <w:bCs/>
        </w:rPr>
        <w:t>Campaña:</w:t>
      </w:r>
      <w:r>
        <w:t xml:space="preserve"> 2025. </w:t>
      </w:r>
    </w:p>
    <w:p w14:paraId="47E31C1E" w14:textId="77777777" w:rsidR="00031C92" w:rsidRDefault="00EC68A4">
      <w:pPr>
        <w:divId w:val="177157972"/>
      </w:pPr>
      <w:r>
        <w:rPr>
          <w:b/>
          <w:bCs/>
        </w:rPr>
        <w:t>Variedad:</w:t>
      </w:r>
      <w:r>
        <w:t xml:space="preserve"> Cleopatra. </w:t>
      </w:r>
    </w:p>
    <w:p w14:paraId="1EC0D081" w14:textId="1E413D8D" w:rsidR="00EC68A4" w:rsidRDefault="00EC68A4">
      <w:pPr>
        <w:divId w:val="177157972"/>
      </w:pPr>
      <w:r>
        <w:rPr>
          <w:b/>
          <w:bCs/>
        </w:rPr>
        <w:t>Diseño:</w:t>
      </w:r>
      <w:r>
        <w:t xml:space="preserve"> bloques completos al azar con cuatro repeticiones y testigo sin tratar.</w:t>
      </w:r>
    </w:p>
    <w:p w14:paraId="660BB3B0" w14:textId="07BACE92" w:rsidR="00EC68A4" w:rsidRDefault="00EC68A4" w:rsidP="00031C92">
      <w:pPr>
        <w:jc w:val="both"/>
        <w:divId w:val="177157972"/>
      </w:pPr>
      <w:r>
        <w:t>Se compararon tres tratamientos: control, BRANDT InVigo® a 1 L/</w:t>
      </w:r>
      <w:proofErr w:type="spellStart"/>
      <w:r>
        <w:t>ha</w:t>
      </w:r>
      <w:proofErr w:type="spellEnd"/>
      <w:r>
        <w:t xml:space="preserve"> y BRANDT InVigo® a 1 L/ha + BRANDT</w:t>
      </w:r>
      <w:r w:rsidR="004E723B">
        <w:rPr>
          <w:b/>
          <w:bCs/>
        </w:rPr>
        <w:t>®</w:t>
      </w:r>
      <w:r>
        <w:t xml:space="preserve"> Manni-Plex® Ca a 3 L/ha. Se realizaron cinco aplicaciones foliares entre el 14 de marzo y el 16 de mayo.</w:t>
      </w:r>
    </w:p>
    <w:p w14:paraId="69F94412" w14:textId="77777777" w:rsidR="00EC68A4" w:rsidRDefault="00EC68A4" w:rsidP="00031C92">
      <w:pPr>
        <w:jc w:val="both"/>
        <w:divId w:val="177157972"/>
      </w:pPr>
      <w:r>
        <w:rPr>
          <w:b/>
          <w:bCs/>
        </w:rPr>
        <w:t>Resultado destacado con BRANDT InVigo®:</w:t>
      </w:r>
      <w:r>
        <w:t xml:space="preserve"> aumentó un 11,5 % el número de frutos cosechados y un 16,1 % los kilogramos de fruto y la producción por planta frente al testigo. En la cosecha final, los grados Brix aumentaron un 15,2 %.</w:t>
      </w:r>
    </w:p>
    <w:p w14:paraId="1AB55E47" w14:textId="2964C271" w:rsidR="00EC68A4" w:rsidRDefault="00EC68A4" w:rsidP="00031C92">
      <w:pPr>
        <w:jc w:val="both"/>
        <w:divId w:val="177157972"/>
      </w:pPr>
      <w:r>
        <w:rPr>
          <w:b/>
          <w:bCs/>
        </w:rPr>
        <w:t>Resultado destacado del programa combinado:</w:t>
      </w:r>
      <w:r>
        <w:t xml:space="preserve"> BRANDT InVigo® + BRANDT</w:t>
      </w:r>
      <w:r w:rsidR="004E723B">
        <w:rPr>
          <w:b/>
          <w:bCs/>
        </w:rPr>
        <w:t>®</w:t>
      </w:r>
      <w:r>
        <w:t xml:space="preserve"> Manni-Plex® Ca incrementó un 18,6 % el número de frutos y un 21,6 % el rendimiento. También mejoró la firmeza entre un 40 % y un 60 %, elevó el calcio total un 8 % y el calcio ligado un 13,9 %.</w:t>
      </w:r>
    </w:p>
    <w:p w14:paraId="3AEE874F" w14:textId="77777777" w:rsidR="00EC68A4" w:rsidRDefault="00EC68A4">
      <w:pPr>
        <w:divId w:val="177157972"/>
      </w:pPr>
      <w:r>
        <w:rPr>
          <w:i/>
          <w:iCs/>
        </w:rPr>
        <w:t xml:space="preserve">No se observaron síntomas de fitotoxicidad. Los efectos sobre firmeza, vida </w:t>
      </w:r>
      <w:proofErr w:type="spellStart"/>
      <w:r>
        <w:rPr>
          <w:i/>
          <w:iCs/>
        </w:rPr>
        <w:t>poscosecha</w:t>
      </w:r>
      <w:proofErr w:type="spellEnd"/>
      <w:r>
        <w:rPr>
          <w:i/>
          <w:iCs/>
        </w:rPr>
        <w:t xml:space="preserve"> y contenido de calcio se evaluaron únicamente en el tratamiento combinado y el testigo.</w:t>
      </w:r>
    </w:p>
    <w:p w14:paraId="4AF905ED" w14:textId="37689FBE" w:rsidR="002B50F8" w:rsidRPr="00BC1EC1" w:rsidRDefault="002B50F8">
      <w:pPr>
        <w:rPr>
          <w:b/>
          <w:bCs/>
          <w:sz w:val="28"/>
          <w:szCs w:val="28"/>
        </w:rPr>
      </w:pPr>
      <w:r w:rsidRPr="00BC1EC1">
        <w:rPr>
          <w:b/>
          <w:bCs/>
          <w:sz w:val="28"/>
          <w:szCs w:val="28"/>
        </w:rPr>
        <w:t>Videos casos de éxito</w:t>
      </w:r>
    </w:p>
    <w:p w14:paraId="3A0AF607" w14:textId="39E6DCCC" w:rsidR="00D71E4D" w:rsidRPr="00994905" w:rsidRDefault="00D71E4D" w:rsidP="00994905">
      <w:pPr>
        <w:pStyle w:val="Prrafodelista"/>
        <w:numPr>
          <w:ilvl w:val="0"/>
          <w:numId w:val="22"/>
        </w:numPr>
        <w:spacing w:after="0" w:line="360" w:lineRule="auto"/>
        <w:rPr>
          <w:rFonts w:cstheme="minorHAnsi"/>
          <w:b/>
          <w:bCs/>
        </w:rPr>
      </w:pPr>
      <w:r w:rsidRPr="00994905">
        <w:rPr>
          <w:rFonts w:cstheme="minorHAnsi"/>
          <w:b/>
          <w:bCs/>
        </w:rPr>
        <w:t>BRANDT InVigo en aguacate | Experiencia real y resultados en campo</w:t>
      </w:r>
      <w:r w:rsidR="00BC1EC1" w:rsidRPr="00994905">
        <w:rPr>
          <w:rFonts w:cstheme="minorHAnsi"/>
          <w:b/>
          <w:bCs/>
        </w:rPr>
        <w:t xml:space="preserve">: </w:t>
      </w:r>
      <w:hyperlink r:id="rId11" w:history="1">
        <w:r w:rsidRPr="00994905">
          <w:rPr>
            <w:rStyle w:val="Hipervnculo"/>
            <w:rFonts w:cstheme="minorHAnsi"/>
            <w:b/>
            <w:bCs/>
          </w:rPr>
          <w:t>https://you</w:t>
        </w:r>
        <w:r w:rsidRPr="00994905">
          <w:rPr>
            <w:rStyle w:val="Hipervnculo"/>
            <w:rFonts w:cstheme="minorHAnsi"/>
            <w:b/>
            <w:bCs/>
          </w:rPr>
          <w:t>t</w:t>
        </w:r>
        <w:r w:rsidRPr="00994905">
          <w:rPr>
            <w:rStyle w:val="Hipervnculo"/>
            <w:rFonts w:cstheme="minorHAnsi"/>
            <w:b/>
            <w:bCs/>
          </w:rPr>
          <w:t>u.be/fR253BAmhbs</w:t>
        </w:r>
      </w:hyperlink>
    </w:p>
    <w:p w14:paraId="25856A53" w14:textId="6E7D616C" w:rsidR="00D96EFE" w:rsidRPr="005A2604" w:rsidRDefault="00BC1EC1" w:rsidP="00994905">
      <w:pPr>
        <w:pStyle w:val="Ttulo1"/>
        <w:numPr>
          <w:ilvl w:val="0"/>
          <w:numId w:val="22"/>
        </w:numPr>
        <w:spacing w:before="0" w:after="0" w:line="360" w:lineRule="auto"/>
        <w:rPr>
          <w:rFonts w:asciiTheme="minorHAnsi" w:hAnsiTheme="minorHAnsi" w:cstheme="minorHAnsi"/>
          <w:b/>
          <w:bCs/>
          <w:color w:val="0F0F0F"/>
          <w:sz w:val="22"/>
          <w:szCs w:val="22"/>
        </w:rPr>
      </w:pPr>
      <w:r w:rsidRPr="005A2604">
        <w:rPr>
          <w:rFonts w:asciiTheme="minorHAnsi" w:hAnsiTheme="minorHAnsi" w:cstheme="minorHAnsi"/>
          <w:b/>
          <w:bCs/>
          <w:color w:val="0F0F0F"/>
          <w:sz w:val="22"/>
          <w:szCs w:val="22"/>
        </w:rPr>
        <w:t>BRANDT InVigo en alcachofa | Un agricultor comparte su experiencia</w:t>
      </w:r>
      <w:r w:rsidRPr="005A2604">
        <w:rPr>
          <w:rFonts w:asciiTheme="minorHAnsi" w:hAnsiTheme="minorHAnsi" w:cstheme="minorHAnsi"/>
          <w:b/>
          <w:bCs/>
          <w:color w:val="0F0F0F"/>
          <w:sz w:val="22"/>
          <w:szCs w:val="22"/>
        </w:rPr>
        <w:t xml:space="preserve">: </w:t>
      </w:r>
      <w:hyperlink r:id="rId12" w:history="1">
        <w:r w:rsidR="005A2604" w:rsidRPr="00DC3EF8">
          <w:rPr>
            <w:rStyle w:val="Hipervnculo"/>
            <w:rFonts w:asciiTheme="minorHAnsi" w:hAnsiTheme="minorHAnsi" w:cstheme="minorHAnsi"/>
            <w:b/>
            <w:bCs/>
            <w:sz w:val="22"/>
            <w:szCs w:val="22"/>
          </w:rPr>
          <w:t>https://youtu.be/Q</w:t>
        </w:r>
        <w:r w:rsidR="005A2604" w:rsidRPr="00DC3EF8">
          <w:rPr>
            <w:rStyle w:val="Hipervnculo"/>
            <w:rFonts w:asciiTheme="minorHAnsi" w:hAnsiTheme="minorHAnsi" w:cstheme="minorHAnsi"/>
            <w:b/>
            <w:bCs/>
            <w:sz w:val="22"/>
            <w:szCs w:val="22"/>
          </w:rPr>
          <w:t>K</w:t>
        </w:r>
        <w:r w:rsidR="005A2604" w:rsidRPr="00DC3EF8">
          <w:rPr>
            <w:rStyle w:val="Hipervnculo"/>
            <w:rFonts w:asciiTheme="minorHAnsi" w:hAnsiTheme="minorHAnsi" w:cstheme="minorHAnsi"/>
            <w:b/>
            <w:bCs/>
            <w:sz w:val="22"/>
            <w:szCs w:val="22"/>
          </w:rPr>
          <w:t>PLAbO1SbA</w:t>
        </w:r>
      </w:hyperlink>
    </w:p>
    <w:p w14:paraId="34348D63" w14:textId="0A4CC4CD" w:rsidR="00D71E4D" w:rsidRPr="005A2604" w:rsidRDefault="00D96EFE" w:rsidP="00994905">
      <w:pPr>
        <w:pStyle w:val="Ttulo1"/>
        <w:numPr>
          <w:ilvl w:val="0"/>
          <w:numId w:val="22"/>
        </w:numPr>
        <w:spacing w:before="0" w:after="0" w:line="360" w:lineRule="auto"/>
        <w:rPr>
          <w:rFonts w:asciiTheme="minorHAnsi" w:hAnsiTheme="minorHAnsi" w:cstheme="minorHAnsi"/>
          <w:sz w:val="22"/>
          <w:szCs w:val="22"/>
        </w:rPr>
      </w:pPr>
      <w:r w:rsidRPr="005A2604">
        <w:rPr>
          <w:rFonts w:asciiTheme="minorHAnsi" w:hAnsiTheme="minorHAnsi" w:cstheme="minorHAnsi"/>
          <w:b/>
          <w:bCs/>
          <w:color w:val="auto"/>
          <w:sz w:val="22"/>
          <w:szCs w:val="22"/>
        </w:rPr>
        <w:t>BRANDT InVigo en pepino | Resultados y testimonio de un agricultor</w:t>
      </w:r>
      <w:r w:rsidRPr="005A2604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: </w:t>
      </w:r>
      <w:hyperlink r:id="rId13" w:history="1">
        <w:r w:rsidR="00D71E4D" w:rsidRPr="005A2604">
          <w:rPr>
            <w:rStyle w:val="Hipervnculo"/>
            <w:rFonts w:asciiTheme="minorHAnsi" w:hAnsiTheme="minorHAnsi" w:cstheme="minorHAnsi"/>
            <w:sz w:val="22"/>
            <w:szCs w:val="22"/>
          </w:rPr>
          <w:t>https://youtu.be/qwSmbdOBOqM</w:t>
        </w:r>
      </w:hyperlink>
    </w:p>
    <w:p w14:paraId="5F20D326" w14:textId="64ED94C2" w:rsidR="00D71E4D" w:rsidRPr="00994905" w:rsidRDefault="00C55578" w:rsidP="00994905">
      <w:pPr>
        <w:pStyle w:val="Prrafodelista"/>
        <w:numPr>
          <w:ilvl w:val="0"/>
          <w:numId w:val="22"/>
        </w:numPr>
        <w:spacing w:after="0" w:line="360" w:lineRule="auto"/>
        <w:rPr>
          <w:rFonts w:cstheme="minorHAnsi"/>
          <w:b/>
          <w:bCs/>
        </w:rPr>
      </w:pPr>
      <w:r w:rsidRPr="00994905">
        <w:rPr>
          <w:rFonts w:cstheme="minorHAnsi"/>
          <w:b/>
          <w:bCs/>
        </w:rPr>
        <w:t>BRANDT InVigo en pimiento | Caso de éxito y experiencia en campo</w:t>
      </w:r>
      <w:r w:rsidRPr="00994905">
        <w:rPr>
          <w:rFonts w:cstheme="minorHAnsi"/>
          <w:b/>
          <w:bCs/>
        </w:rPr>
        <w:t xml:space="preserve">: </w:t>
      </w:r>
      <w:hyperlink r:id="rId14" w:history="1">
        <w:r w:rsidR="00D71E4D" w:rsidRPr="00994905">
          <w:rPr>
            <w:rStyle w:val="Hipervnculo"/>
            <w:rFonts w:cstheme="minorHAnsi"/>
            <w:b/>
            <w:bCs/>
          </w:rPr>
          <w:t>https://you</w:t>
        </w:r>
        <w:r w:rsidR="00D71E4D" w:rsidRPr="00994905">
          <w:rPr>
            <w:rStyle w:val="Hipervnculo"/>
            <w:rFonts w:cstheme="minorHAnsi"/>
            <w:b/>
            <w:bCs/>
          </w:rPr>
          <w:t>t</w:t>
        </w:r>
        <w:r w:rsidR="00D71E4D" w:rsidRPr="00994905">
          <w:rPr>
            <w:rStyle w:val="Hipervnculo"/>
            <w:rFonts w:cstheme="minorHAnsi"/>
            <w:b/>
            <w:bCs/>
          </w:rPr>
          <w:t>u.be/CdW4Sh1BR_Y</w:t>
        </w:r>
      </w:hyperlink>
    </w:p>
    <w:p w14:paraId="79FAB282" w14:textId="77777777" w:rsidR="005A2604" w:rsidRPr="00994905" w:rsidRDefault="005A2604" w:rsidP="00994905">
      <w:pPr>
        <w:pStyle w:val="Prrafodelista"/>
        <w:numPr>
          <w:ilvl w:val="0"/>
          <w:numId w:val="22"/>
        </w:numPr>
        <w:spacing w:after="0" w:line="360" w:lineRule="auto"/>
        <w:rPr>
          <w:b/>
          <w:bCs/>
        </w:rPr>
      </w:pPr>
      <w:r w:rsidRPr="00994905">
        <w:rPr>
          <w:b/>
          <w:bCs/>
        </w:rPr>
        <w:t>BRANDT InVigo en uva | Testimonio real de un viticultor</w:t>
      </w:r>
      <w:r w:rsidRPr="00994905">
        <w:rPr>
          <w:b/>
          <w:bCs/>
        </w:rPr>
        <w:t xml:space="preserve">: </w:t>
      </w:r>
    </w:p>
    <w:p w14:paraId="09513DE3" w14:textId="4771F617" w:rsidR="00D71E4D" w:rsidRDefault="005A2604" w:rsidP="00994905">
      <w:pPr>
        <w:pStyle w:val="Prrafodelista"/>
        <w:numPr>
          <w:ilvl w:val="0"/>
          <w:numId w:val="22"/>
        </w:numPr>
        <w:spacing w:after="0" w:line="360" w:lineRule="auto"/>
      </w:pPr>
      <w:hyperlink r:id="rId15" w:history="1">
        <w:r w:rsidRPr="005A2604">
          <w:rPr>
            <w:rStyle w:val="Hipervnculo"/>
          </w:rPr>
          <w:t>https://youtu.be</w:t>
        </w:r>
        <w:r w:rsidRPr="005A2604">
          <w:rPr>
            <w:rStyle w:val="Hipervnculo"/>
          </w:rPr>
          <w:t>/</w:t>
        </w:r>
        <w:r w:rsidRPr="005A2604">
          <w:rPr>
            <w:rStyle w:val="Hipervnculo"/>
          </w:rPr>
          <w:t>vE8IyZpLe6U</w:t>
        </w:r>
      </w:hyperlink>
    </w:p>
    <w:p w14:paraId="4492BB90" w14:textId="77777777" w:rsidR="005A2604" w:rsidRPr="00994905" w:rsidRDefault="005A2604" w:rsidP="00994905">
      <w:pPr>
        <w:pStyle w:val="Prrafodelista"/>
        <w:numPr>
          <w:ilvl w:val="0"/>
          <w:numId w:val="22"/>
        </w:numPr>
        <w:spacing w:after="0" w:line="360" w:lineRule="auto"/>
        <w:rPr>
          <w:rFonts w:cstheme="minorHAnsi"/>
          <w:b/>
          <w:bCs/>
        </w:rPr>
      </w:pPr>
      <w:r w:rsidRPr="00994905">
        <w:rPr>
          <w:rFonts w:cstheme="minorHAnsi"/>
          <w:b/>
          <w:bCs/>
        </w:rPr>
        <w:t xml:space="preserve">Qué es Brandt InVigo:  </w:t>
      </w:r>
    </w:p>
    <w:p w14:paraId="38562D06" w14:textId="79D43BCB" w:rsidR="00D71E4D" w:rsidRPr="00994905" w:rsidRDefault="00D71E4D" w:rsidP="00994905">
      <w:pPr>
        <w:pStyle w:val="Prrafodelista"/>
        <w:numPr>
          <w:ilvl w:val="0"/>
          <w:numId w:val="22"/>
        </w:numPr>
        <w:spacing w:after="0" w:line="360" w:lineRule="auto"/>
        <w:rPr>
          <w:rFonts w:cstheme="minorHAnsi"/>
          <w:b/>
          <w:bCs/>
        </w:rPr>
      </w:pPr>
      <w:hyperlink r:id="rId16" w:history="1">
        <w:r w:rsidRPr="00994905">
          <w:rPr>
            <w:rStyle w:val="Hipervnculo"/>
            <w:rFonts w:cstheme="minorHAnsi"/>
            <w:b/>
            <w:bCs/>
          </w:rPr>
          <w:t>https://youtube.com/shorts/7KvP0Rcd9d8?feature=share</w:t>
        </w:r>
      </w:hyperlink>
    </w:p>
    <w:p w14:paraId="4383BFBE" w14:textId="77777777" w:rsidR="00D71E4D" w:rsidRPr="002B50F8" w:rsidRDefault="00D71E4D">
      <w:pPr>
        <w:rPr>
          <w:b/>
          <w:bCs/>
        </w:rPr>
      </w:pPr>
    </w:p>
    <w:sectPr w:rsidR="00D71E4D" w:rsidRPr="002B50F8" w:rsidSect="002F301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701" w:bottom="1417" w:left="1701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83FBA" w14:textId="77777777" w:rsidR="00924C89" w:rsidRDefault="00924C89" w:rsidP="00273519">
      <w:pPr>
        <w:spacing w:after="0" w:line="240" w:lineRule="auto"/>
      </w:pPr>
      <w:r>
        <w:separator/>
      </w:r>
    </w:p>
  </w:endnote>
  <w:endnote w:type="continuationSeparator" w:id="0">
    <w:p w14:paraId="55C53284" w14:textId="77777777" w:rsidR="00924C89" w:rsidRDefault="00924C89" w:rsidP="00273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E3C9" w14:textId="77777777" w:rsidR="007D170F" w:rsidRDefault="007D170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16214" w14:textId="77777777" w:rsidR="001B4A14" w:rsidRDefault="001B4A14">
    <w:pPr>
      <w:pStyle w:val="Piedepgina"/>
      <w:rPr>
        <w:sz w:val="24"/>
        <w:szCs w:val="24"/>
      </w:rPr>
    </w:pPr>
    <w:r>
      <w:rPr>
        <w:b/>
        <w:bCs/>
        <w:sz w:val="20"/>
        <w:szCs w:val="20"/>
      </w:rPr>
      <w:t>BRANDT Europe S.L.</w:t>
    </w:r>
    <w:r>
      <w:rPr>
        <w:sz w:val="20"/>
        <w:szCs w:val="20"/>
      </w:rPr>
      <w:t xml:space="preserve"> - Ctra. Carmona, Calle Ctra. de Guadajoz, Km 3, 1, 41410 Carmona, Sevilla (SPAIN)</w:t>
    </w:r>
  </w:p>
  <w:p w14:paraId="0CBB3CDF" w14:textId="3F5C7BDF" w:rsidR="00273519" w:rsidRPr="00A74B8F" w:rsidRDefault="001B4A14">
    <w:pPr>
      <w:pStyle w:val="Piedepgina"/>
      <w:rPr>
        <w:sz w:val="20"/>
        <w:szCs w:val="20"/>
      </w:rPr>
    </w:pPr>
    <w:r>
      <w:t>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ED0A3" w14:textId="77777777" w:rsidR="007D170F" w:rsidRDefault="007D17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82E80" w14:textId="77777777" w:rsidR="00924C89" w:rsidRDefault="00924C89" w:rsidP="00273519">
      <w:pPr>
        <w:spacing w:after="0" w:line="240" w:lineRule="auto"/>
      </w:pPr>
      <w:r>
        <w:separator/>
      </w:r>
    </w:p>
  </w:footnote>
  <w:footnote w:type="continuationSeparator" w:id="0">
    <w:p w14:paraId="7ADAAB79" w14:textId="77777777" w:rsidR="00924C89" w:rsidRDefault="00924C89" w:rsidP="00273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A16EF" w14:textId="77777777" w:rsidR="007D170F" w:rsidRDefault="007D170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Spacing w:w="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2"/>
      <w:gridCol w:w="4252"/>
    </w:tblGrid>
    <w:tr w:rsidR="00AA2F30" w14:paraId="18676397" w14:textId="77777777" w:rsidTr="002F3011">
      <w:trPr>
        <w:tblCellSpacing w:w="0" w:type="dxa"/>
      </w:trPr>
      <w:tc>
        <w:tcPr>
          <w:tcW w:w="0" w:type="auto"/>
          <w:vAlign w:val="center"/>
          <w:hideMark/>
        </w:tcPr>
        <w:p w14:paraId="72C3C5E5" w14:textId="77777777" w:rsidR="00AA2F30" w:rsidRDefault="00AA2F30" w:rsidP="00AA2F30">
          <w:pPr>
            <w:rPr>
              <w:sz w:val="20"/>
              <w:szCs w:val="20"/>
            </w:rPr>
          </w:pPr>
        </w:p>
      </w:tc>
      <w:tc>
        <w:tcPr>
          <w:tcW w:w="0" w:type="auto"/>
          <w:vAlign w:val="bottom"/>
        </w:tcPr>
        <w:p w14:paraId="1FC9B667" w14:textId="489320C0" w:rsidR="00AA2F30" w:rsidRDefault="00AA2F30" w:rsidP="00AA2F30">
          <w:pPr>
            <w:spacing w:before="100" w:beforeAutospacing="1" w:after="100" w:afterAutospacing="1"/>
            <w:jc w:val="right"/>
            <w:rPr>
              <w:rFonts w:eastAsiaTheme="minorEastAsia"/>
              <w:sz w:val="24"/>
              <w:szCs w:val="24"/>
            </w:rPr>
          </w:pPr>
        </w:p>
      </w:tc>
    </w:tr>
  </w:tbl>
  <w:p w14:paraId="03BEC875" w14:textId="66A9DE89" w:rsidR="007D170F" w:rsidRDefault="00AA2F30">
    <w:pPr>
      <w:pStyle w:val="Encabezado"/>
    </w:pPr>
    <w:r>
      <w:rPr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5C87DAF5" wp14:editId="20E9FD7B">
          <wp:simplePos x="0" y="0"/>
          <wp:positionH relativeFrom="margin">
            <wp:posOffset>2990215</wp:posOffset>
          </wp:positionH>
          <wp:positionV relativeFrom="topMargin">
            <wp:posOffset>391795</wp:posOffset>
          </wp:positionV>
          <wp:extent cx="3081655" cy="582930"/>
          <wp:effectExtent l="0" t="0" r="4445" b="7620"/>
          <wp:wrapSquare wrapText="bothSides"/>
          <wp:docPr id="51918164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181648" name="Imagen 51918164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1655" cy="582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CAD3" w14:textId="77777777" w:rsidR="007D170F" w:rsidRDefault="007D17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2FF6DD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A012E1"/>
    <w:multiLevelType w:val="multilevel"/>
    <w:tmpl w:val="F9B2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6B3B6B"/>
    <w:multiLevelType w:val="hybridMultilevel"/>
    <w:tmpl w:val="4AF02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C937D2"/>
    <w:multiLevelType w:val="multilevel"/>
    <w:tmpl w:val="4A3E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A3606"/>
    <w:multiLevelType w:val="hybridMultilevel"/>
    <w:tmpl w:val="79E265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C3CD6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834759A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25016127"/>
    <w:multiLevelType w:val="multilevel"/>
    <w:tmpl w:val="D662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2A94D8"/>
    <w:multiLevelType w:val="hybridMultilevel"/>
    <w:tmpl w:val="FFFFFFFF"/>
    <w:lvl w:ilvl="0" w:tplc="6C149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9C2F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6888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CAA8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A02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F4FF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56B3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0C27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5AFA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7E40DB"/>
    <w:multiLevelType w:val="hybridMultilevel"/>
    <w:tmpl w:val="AFA041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0E1979"/>
    <w:multiLevelType w:val="hybridMultilevel"/>
    <w:tmpl w:val="D41855A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3C0F38"/>
    <w:multiLevelType w:val="multilevel"/>
    <w:tmpl w:val="05947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D546C8"/>
    <w:multiLevelType w:val="hybridMultilevel"/>
    <w:tmpl w:val="6E0C5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A36EB"/>
    <w:multiLevelType w:val="hybridMultilevel"/>
    <w:tmpl w:val="1CDA188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6607AF4"/>
    <w:multiLevelType w:val="multilevel"/>
    <w:tmpl w:val="63F64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750E7D"/>
    <w:multiLevelType w:val="hybridMultilevel"/>
    <w:tmpl w:val="4E9890FC"/>
    <w:lvl w:ilvl="0" w:tplc="D85CE37A"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219D3"/>
    <w:multiLevelType w:val="multilevel"/>
    <w:tmpl w:val="E4AC3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4463AC"/>
    <w:multiLevelType w:val="hybridMultilevel"/>
    <w:tmpl w:val="914A30AE"/>
    <w:lvl w:ilvl="0" w:tplc="0C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718F3DBA"/>
    <w:multiLevelType w:val="multilevel"/>
    <w:tmpl w:val="82AED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1C024D"/>
    <w:multiLevelType w:val="multilevel"/>
    <w:tmpl w:val="C9B00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8A087B"/>
    <w:multiLevelType w:val="multilevel"/>
    <w:tmpl w:val="01903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AA08BD"/>
    <w:multiLevelType w:val="multilevel"/>
    <w:tmpl w:val="CD90B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2885540">
    <w:abstractNumId w:val="8"/>
  </w:num>
  <w:num w:numId="2" w16cid:durableId="573782620">
    <w:abstractNumId w:val="4"/>
  </w:num>
  <w:num w:numId="3" w16cid:durableId="1896818561">
    <w:abstractNumId w:val="12"/>
  </w:num>
  <w:num w:numId="4" w16cid:durableId="514618649">
    <w:abstractNumId w:val="18"/>
  </w:num>
  <w:num w:numId="5" w16cid:durableId="845945520">
    <w:abstractNumId w:val="20"/>
  </w:num>
  <w:num w:numId="6" w16cid:durableId="1442185677">
    <w:abstractNumId w:val="14"/>
  </w:num>
  <w:num w:numId="7" w16cid:durableId="1024793949">
    <w:abstractNumId w:val="1"/>
  </w:num>
  <w:num w:numId="8" w16cid:durableId="967466058">
    <w:abstractNumId w:val="16"/>
  </w:num>
  <w:num w:numId="9" w16cid:durableId="733549013">
    <w:abstractNumId w:val="7"/>
  </w:num>
  <w:num w:numId="10" w16cid:durableId="1127233502">
    <w:abstractNumId w:val="19"/>
  </w:num>
  <w:num w:numId="11" w16cid:durableId="164830015">
    <w:abstractNumId w:val="11"/>
  </w:num>
  <w:num w:numId="12" w16cid:durableId="1092551235">
    <w:abstractNumId w:val="3"/>
  </w:num>
  <w:num w:numId="13" w16cid:durableId="1392344020">
    <w:abstractNumId w:val="21"/>
  </w:num>
  <w:num w:numId="14" w16cid:durableId="1343627201">
    <w:abstractNumId w:val="6"/>
  </w:num>
  <w:num w:numId="15" w16cid:durableId="1512063430">
    <w:abstractNumId w:val="0"/>
  </w:num>
  <w:num w:numId="16" w16cid:durableId="28730555">
    <w:abstractNumId w:val="10"/>
  </w:num>
  <w:num w:numId="17" w16cid:durableId="2083330788">
    <w:abstractNumId w:val="13"/>
  </w:num>
  <w:num w:numId="18" w16cid:durableId="493958067">
    <w:abstractNumId w:val="5"/>
  </w:num>
  <w:num w:numId="19" w16cid:durableId="2026638311">
    <w:abstractNumId w:val="17"/>
  </w:num>
  <w:num w:numId="20" w16cid:durableId="922302191">
    <w:abstractNumId w:val="9"/>
  </w:num>
  <w:num w:numId="21" w16cid:durableId="1226835665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 w16cid:durableId="1430085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519"/>
    <w:rsid w:val="000059AD"/>
    <w:rsid w:val="00007EDF"/>
    <w:rsid w:val="00010553"/>
    <w:rsid w:val="000137DB"/>
    <w:rsid w:val="00031C92"/>
    <w:rsid w:val="00050279"/>
    <w:rsid w:val="00057636"/>
    <w:rsid w:val="000610F0"/>
    <w:rsid w:val="00062507"/>
    <w:rsid w:val="00083307"/>
    <w:rsid w:val="000A476B"/>
    <w:rsid w:val="000C4A7B"/>
    <w:rsid w:val="000C7C33"/>
    <w:rsid w:val="000D03E1"/>
    <w:rsid w:val="000E23C4"/>
    <w:rsid w:val="000F466E"/>
    <w:rsid w:val="000F5D2F"/>
    <w:rsid w:val="001029DC"/>
    <w:rsid w:val="00111A37"/>
    <w:rsid w:val="00120998"/>
    <w:rsid w:val="00122292"/>
    <w:rsid w:val="001274B4"/>
    <w:rsid w:val="00140589"/>
    <w:rsid w:val="00145502"/>
    <w:rsid w:val="00155906"/>
    <w:rsid w:val="0015675B"/>
    <w:rsid w:val="00170483"/>
    <w:rsid w:val="00170A1F"/>
    <w:rsid w:val="00185659"/>
    <w:rsid w:val="001A160F"/>
    <w:rsid w:val="001A4FAC"/>
    <w:rsid w:val="001B4A14"/>
    <w:rsid w:val="001D0585"/>
    <w:rsid w:val="001D2094"/>
    <w:rsid w:val="001F2DFA"/>
    <w:rsid w:val="00213E07"/>
    <w:rsid w:val="00214D49"/>
    <w:rsid w:val="00220852"/>
    <w:rsid w:val="002410F1"/>
    <w:rsid w:val="00251198"/>
    <w:rsid w:val="00263B7B"/>
    <w:rsid w:val="002643A3"/>
    <w:rsid w:val="00265135"/>
    <w:rsid w:val="002711DB"/>
    <w:rsid w:val="00273519"/>
    <w:rsid w:val="0027566C"/>
    <w:rsid w:val="00282424"/>
    <w:rsid w:val="00282CEC"/>
    <w:rsid w:val="00290242"/>
    <w:rsid w:val="002A14AB"/>
    <w:rsid w:val="002A209C"/>
    <w:rsid w:val="002B50F8"/>
    <w:rsid w:val="002C0F86"/>
    <w:rsid w:val="002C52CA"/>
    <w:rsid w:val="002C600D"/>
    <w:rsid w:val="002D028A"/>
    <w:rsid w:val="002D19D3"/>
    <w:rsid w:val="002D229D"/>
    <w:rsid w:val="002D6CA1"/>
    <w:rsid w:val="002E5A08"/>
    <w:rsid w:val="002F22A2"/>
    <w:rsid w:val="002F2D9D"/>
    <w:rsid w:val="002F3011"/>
    <w:rsid w:val="00305BC9"/>
    <w:rsid w:val="003102CB"/>
    <w:rsid w:val="003265E6"/>
    <w:rsid w:val="00330E9D"/>
    <w:rsid w:val="0033498B"/>
    <w:rsid w:val="00343B7D"/>
    <w:rsid w:val="00373C9D"/>
    <w:rsid w:val="003740D9"/>
    <w:rsid w:val="003813E7"/>
    <w:rsid w:val="00392E41"/>
    <w:rsid w:val="00394391"/>
    <w:rsid w:val="003A1607"/>
    <w:rsid w:val="003C0C29"/>
    <w:rsid w:val="003D1758"/>
    <w:rsid w:val="003D52CA"/>
    <w:rsid w:val="004105BB"/>
    <w:rsid w:val="0041346D"/>
    <w:rsid w:val="00424F47"/>
    <w:rsid w:val="0042601C"/>
    <w:rsid w:val="004333E0"/>
    <w:rsid w:val="004375F2"/>
    <w:rsid w:val="004378AF"/>
    <w:rsid w:val="00450558"/>
    <w:rsid w:val="00456F94"/>
    <w:rsid w:val="00466136"/>
    <w:rsid w:val="00491688"/>
    <w:rsid w:val="00495337"/>
    <w:rsid w:val="004B50CF"/>
    <w:rsid w:val="004D16CD"/>
    <w:rsid w:val="004E723B"/>
    <w:rsid w:val="004E7F84"/>
    <w:rsid w:val="004F0286"/>
    <w:rsid w:val="00505168"/>
    <w:rsid w:val="00553957"/>
    <w:rsid w:val="00564596"/>
    <w:rsid w:val="00582768"/>
    <w:rsid w:val="005963AA"/>
    <w:rsid w:val="005A0F37"/>
    <w:rsid w:val="005A2604"/>
    <w:rsid w:val="005A57DB"/>
    <w:rsid w:val="005A59FF"/>
    <w:rsid w:val="005B4B2E"/>
    <w:rsid w:val="005C0664"/>
    <w:rsid w:val="005F3804"/>
    <w:rsid w:val="00635C10"/>
    <w:rsid w:val="0065494D"/>
    <w:rsid w:val="00666392"/>
    <w:rsid w:val="00672FE6"/>
    <w:rsid w:val="006B666D"/>
    <w:rsid w:val="006C0F76"/>
    <w:rsid w:val="006C26FB"/>
    <w:rsid w:val="006C2DD2"/>
    <w:rsid w:val="006D704A"/>
    <w:rsid w:val="006E23D3"/>
    <w:rsid w:val="006E728D"/>
    <w:rsid w:val="00707A6C"/>
    <w:rsid w:val="00716A47"/>
    <w:rsid w:val="00716B79"/>
    <w:rsid w:val="00723DE9"/>
    <w:rsid w:val="0074259B"/>
    <w:rsid w:val="00750F8B"/>
    <w:rsid w:val="0075519C"/>
    <w:rsid w:val="00775699"/>
    <w:rsid w:val="00797563"/>
    <w:rsid w:val="007A45D8"/>
    <w:rsid w:val="007C06EA"/>
    <w:rsid w:val="007D170F"/>
    <w:rsid w:val="007D211B"/>
    <w:rsid w:val="007D3329"/>
    <w:rsid w:val="007D5B11"/>
    <w:rsid w:val="007E1022"/>
    <w:rsid w:val="007E4676"/>
    <w:rsid w:val="007E5030"/>
    <w:rsid w:val="007F2913"/>
    <w:rsid w:val="007F4C4B"/>
    <w:rsid w:val="007F6710"/>
    <w:rsid w:val="0080077D"/>
    <w:rsid w:val="00823B26"/>
    <w:rsid w:val="00823DF8"/>
    <w:rsid w:val="008360CB"/>
    <w:rsid w:val="00862DC4"/>
    <w:rsid w:val="00866762"/>
    <w:rsid w:val="00866A2F"/>
    <w:rsid w:val="00874453"/>
    <w:rsid w:val="008A0F63"/>
    <w:rsid w:val="008B045C"/>
    <w:rsid w:val="008B05E1"/>
    <w:rsid w:val="008B3C95"/>
    <w:rsid w:val="008C0F1F"/>
    <w:rsid w:val="008C2FDE"/>
    <w:rsid w:val="008D05A6"/>
    <w:rsid w:val="008E0637"/>
    <w:rsid w:val="008F76AA"/>
    <w:rsid w:val="008F7BB1"/>
    <w:rsid w:val="009060AA"/>
    <w:rsid w:val="009122CD"/>
    <w:rsid w:val="009150CB"/>
    <w:rsid w:val="00920B10"/>
    <w:rsid w:val="009218C8"/>
    <w:rsid w:val="00924C89"/>
    <w:rsid w:val="00924E1A"/>
    <w:rsid w:val="00925984"/>
    <w:rsid w:val="009265EB"/>
    <w:rsid w:val="00935D6B"/>
    <w:rsid w:val="00940C36"/>
    <w:rsid w:val="00953CB6"/>
    <w:rsid w:val="009715A7"/>
    <w:rsid w:val="009870F6"/>
    <w:rsid w:val="00994905"/>
    <w:rsid w:val="009A20EF"/>
    <w:rsid w:val="009A5304"/>
    <w:rsid w:val="009A6D4D"/>
    <w:rsid w:val="009D1291"/>
    <w:rsid w:val="009E604F"/>
    <w:rsid w:val="009F1507"/>
    <w:rsid w:val="00A10DC9"/>
    <w:rsid w:val="00A1371D"/>
    <w:rsid w:val="00A2303C"/>
    <w:rsid w:val="00A255E6"/>
    <w:rsid w:val="00A33FBF"/>
    <w:rsid w:val="00A37CB3"/>
    <w:rsid w:val="00A449A2"/>
    <w:rsid w:val="00A56FB7"/>
    <w:rsid w:val="00A74B8F"/>
    <w:rsid w:val="00AA0413"/>
    <w:rsid w:val="00AA2C0D"/>
    <w:rsid w:val="00AA2F30"/>
    <w:rsid w:val="00AA76CA"/>
    <w:rsid w:val="00AC134C"/>
    <w:rsid w:val="00AC6F2B"/>
    <w:rsid w:val="00AD78F8"/>
    <w:rsid w:val="00AE1F3B"/>
    <w:rsid w:val="00AE74C0"/>
    <w:rsid w:val="00AE7D5F"/>
    <w:rsid w:val="00AF1A73"/>
    <w:rsid w:val="00B01F5E"/>
    <w:rsid w:val="00B55CEF"/>
    <w:rsid w:val="00B748D0"/>
    <w:rsid w:val="00B758C0"/>
    <w:rsid w:val="00BC15A9"/>
    <w:rsid w:val="00BC1EC1"/>
    <w:rsid w:val="00BC4BB4"/>
    <w:rsid w:val="00BC5F6E"/>
    <w:rsid w:val="00BD23E7"/>
    <w:rsid w:val="00BD3680"/>
    <w:rsid w:val="00BF670D"/>
    <w:rsid w:val="00C000D7"/>
    <w:rsid w:val="00C00294"/>
    <w:rsid w:val="00C0677B"/>
    <w:rsid w:val="00C1682F"/>
    <w:rsid w:val="00C55578"/>
    <w:rsid w:val="00C6192A"/>
    <w:rsid w:val="00C9003D"/>
    <w:rsid w:val="00C90371"/>
    <w:rsid w:val="00CB517F"/>
    <w:rsid w:val="00CC0D88"/>
    <w:rsid w:val="00CD5491"/>
    <w:rsid w:val="00D00176"/>
    <w:rsid w:val="00D060FE"/>
    <w:rsid w:val="00D15741"/>
    <w:rsid w:val="00D24FAA"/>
    <w:rsid w:val="00D30FBC"/>
    <w:rsid w:val="00D53613"/>
    <w:rsid w:val="00D708E6"/>
    <w:rsid w:val="00D70F03"/>
    <w:rsid w:val="00D71E4D"/>
    <w:rsid w:val="00D94962"/>
    <w:rsid w:val="00D96EFE"/>
    <w:rsid w:val="00DC1AB8"/>
    <w:rsid w:val="00DD007F"/>
    <w:rsid w:val="00DD31B5"/>
    <w:rsid w:val="00DE1E22"/>
    <w:rsid w:val="00DF7FC2"/>
    <w:rsid w:val="00E32CC6"/>
    <w:rsid w:val="00E3456F"/>
    <w:rsid w:val="00E3710F"/>
    <w:rsid w:val="00E51567"/>
    <w:rsid w:val="00E64024"/>
    <w:rsid w:val="00E715AC"/>
    <w:rsid w:val="00E725C7"/>
    <w:rsid w:val="00E85F1C"/>
    <w:rsid w:val="00E86DE1"/>
    <w:rsid w:val="00EA7C9B"/>
    <w:rsid w:val="00EC248B"/>
    <w:rsid w:val="00EC68A4"/>
    <w:rsid w:val="00ED75CE"/>
    <w:rsid w:val="00ED7A3C"/>
    <w:rsid w:val="00EE6F25"/>
    <w:rsid w:val="00F42A01"/>
    <w:rsid w:val="00F436B9"/>
    <w:rsid w:val="00F56CD8"/>
    <w:rsid w:val="00F86CDC"/>
    <w:rsid w:val="00F8765B"/>
    <w:rsid w:val="00F9230B"/>
    <w:rsid w:val="00FB5126"/>
    <w:rsid w:val="00FD263D"/>
    <w:rsid w:val="00FD2A4B"/>
    <w:rsid w:val="00FD594F"/>
    <w:rsid w:val="00FE561D"/>
    <w:rsid w:val="00FE6ADF"/>
    <w:rsid w:val="00FF423A"/>
    <w:rsid w:val="082C70FA"/>
    <w:rsid w:val="11AC42E8"/>
    <w:rsid w:val="1BC72489"/>
    <w:rsid w:val="6DDC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E14885"/>
  <w15:chartTrackingRefBased/>
  <w15:docId w15:val="{D74E3A38-5D5F-4FFE-A2F4-D88353D72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73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73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735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73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735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735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735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735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735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11AC4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link w:val="Ttulo2"/>
    <w:uiPriority w:val="9"/>
    <w:semiHidden/>
    <w:rsid w:val="11AC4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link w:val="Ttulo3"/>
    <w:uiPriority w:val="9"/>
    <w:semiHidden/>
    <w:rsid w:val="11AC4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link w:val="Ttulo4"/>
    <w:uiPriority w:val="9"/>
    <w:semiHidden/>
    <w:rsid w:val="11AC42E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link w:val="Ttulo5"/>
    <w:uiPriority w:val="9"/>
    <w:semiHidden/>
    <w:rsid w:val="11AC42E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link w:val="Ttulo6"/>
    <w:uiPriority w:val="9"/>
    <w:semiHidden/>
    <w:rsid w:val="11AC42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link w:val="Ttulo7"/>
    <w:uiPriority w:val="9"/>
    <w:semiHidden/>
    <w:rsid w:val="11AC42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link w:val="Ttulo8"/>
    <w:uiPriority w:val="9"/>
    <w:semiHidden/>
    <w:rsid w:val="11AC42E8"/>
    <w:rPr>
      <w:rFonts w:eastAsiaTheme="majorEastAsia" w:cstheme="majorBidi"/>
      <w:i/>
      <w:iCs/>
      <w:color w:val="272727"/>
    </w:rPr>
  </w:style>
  <w:style w:type="character" w:customStyle="1" w:styleId="Ttulo9Car">
    <w:name w:val="Título 9 Car"/>
    <w:link w:val="Ttulo9"/>
    <w:uiPriority w:val="9"/>
    <w:semiHidden/>
    <w:rsid w:val="11AC42E8"/>
    <w:rPr>
      <w:rFonts w:eastAsiaTheme="majorEastAsia" w:cstheme="majorBidi"/>
      <w:color w:val="272727"/>
    </w:rPr>
  </w:style>
  <w:style w:type="paragraph" w:styleId="Ttulo">
    <w:name w:val="Title"/>
    <w:basedOn w:val="Normal"/>
    <w:next w:val="Normal"/>
    <w:link w:val="TtuloCar"/>
    <w:uiPriority w:val="10"/>
    <w:qFormat/>
    <w:rsid w:val="002735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link w:val="Ttulo"/>
    <w:uiPriority w:val="10"/>
    <w:rsid w:val="11AC42E8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73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link w:val="Subttulo"/>
    <w:uiPriority w:val="11"/>
    <w:rsid w:val="11AC42E8"/>
    <w:rPr>
      <w:rFonts w:eastAsiaTheme="majorEastAsia" w:cstheme="majorBidi"/>
      <w:color w:val="595959" w:themeColor="text1" w:themeTint="A6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73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link w:val="Cita"/>
    <w:uiPriority w:val="29"/>
    <w:rsid w:val="11AC42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73519"/>
    <w:pPr>
      <w:ind w:left="720"/>
      <w:contextualSpacing/>
    </w:pPr>
  </w:style>
  <w:style w:type="character" w:styleId="nfasisintenso">
    <w:name w:val="Intense Emphasis"/>
    <w:uiPriority w:val="21"/>
    <w:qFormat/>
    <w:rsid w:val="11AC42E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35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link w:val="Citadestacada"/>
    <w:uiPriority w:val="30"/>
    <w:rsid w:val="11AC42E8"/>
    <w:rPr>
      <w:i/>
      <w:iCs/>
      <w:color w:val="2F5496" w:themeColor="accent1" w:themeShade="BF"/>
    </w:rPr>
  </w:style>
  <w:style w:type="character" w:styleId="Referenciaintensa">
    <w:name w:val="Intense Reference"/>
    <w:uiPriority w:val="32"/>
    <w:qFormat/>
    <w:rsid w:val="11AC42E8"/>
    <w:rPr>
      <w:b/>
      <w:bCs/>
      <w:smallCaps/>
      <w:color w:val="2F5496" w:themeColor="accent1" w:themeShade="BF"/>
    </w:rPr>
  </w:style>
  <w:style w:type="paragraph" w:styleId="Encabezado">
    <w:name w:val="header"/>
    <w:basedOn w:val="Normal"/>
    <w:link w:val="EncabezadoCar"/>
    <w:uiPriority w:val="99"/>
    <w:unhideWhenUsed/>
    <w:rsid w:val="002735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11AC42E8"/>
  </w:style>
  <w:style w:type="paragraph" w:styleId="Piedepgina">
    <w:name w:val="footer"/>
    <w:basedOn w:val="Normal"/>
    <w:link w:val="PiedepginaCar"/>
    <w:uiPriority w:val="99"/>
    <w:unhideWhenUsed/>
    <w:rsid w:val="002735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11AC42E8"/>
  </w:style>
  <w:style w:type="character" w:styleId="Hipervnculo">
    <w:name w:val="Hyperlink"/>
    <w:uiPriority w:val="99"/>
    <w:unhideWhenUsed/>
    <w:rsid w:val="11AC42E8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4B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D170F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es-ES"/>
      <w14:ligatures w14:val="standardContextual"/>
    </w:rPr>
  </w:style>
  <w:style w:type="paragraph" w:customStyle="1" w:styleId="Ttulo10">
    <w:name w:val="Título1"/>
    <w:basedOn w:val="Normal"/>
    <w:pPr>
      <w:spacing w:before="280" w:after="120" w:line="440" w:lineRule="atLeast"/>
    </w:pPr>
    <w:rPr>
      <w:rFonts w:ascii="Calibri Light" w:hAnsi="Calibri Light" w:cs="Calibri Light"/>
      <w:spacing w:val="-10"/>
      <w:kern w:val="2"/>
      <w:sz w:val="36"/>
      <w:szCs w:val="56"/>
      <w:lang w:eastAsia="es-ES"/>
      <w14:ligatures w14:val="standardContextual"/>
    </w:rPr>
  </w:style>
  <w:style w:type="paragraph" w:customStyle="1" w:styleId="Subttulo1">
    <w:name w:val="Subtítulo1"/>
    <w:basedOn w:val="Normal"/>
    <w:pPr>
      <w:spacing w:before="200" w:after="100" w:line="320" w:lineRule="atLeast"/>
    </w:pPr>
    <w:rPr>
      <w:rFonts w:ascii="Calibri" w:hAnsi="Calibri" w:cs="Calibri"/>
      <w:color w:val="595959"/>
      <w:spacing w:val="15"/>
      <w:kern w:val="2"/>
      <w:sz w:val="26"/>
      <w:szCs w:val="28"/>
      <w:lang w:eastAsia="es-ES"/>
      <w14:ligatures w14:val="standardContextual"/>
    </w:rPr>
  </w:style>
  <w:style w:type="table" w:styleId="Tablaconcuadrcula4-nfasis1">
    <w:name w:val="Grid Table 4 Accent 1"/>
    <w:basedOn w:val="Tablanormal"/>
    <w:uiPriority w:val="49"/>
    <w:rsid w:val="00672FE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Revisin">
    <w:name w:val="Revision"/>
    <w:hidden/>
    <w:uiPriority w:val="99"/>
    <w:semiHidden/>
    <w:rsid w:val="009122CD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4E72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E723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E723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723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723B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D71E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24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9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3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1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youtu.be/qwSmbdOBOq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s://youtu.be/QKPLAbO1SbA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be.com/shorts/7KvP0Rcd9d8?feature=share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youtu.be/fR253BAmhbs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youtu.be/vE8IyZpLe6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youtube.com/watch?v=79rO_xKKYS8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youtu.be/CdW4Sh1BR_Y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4A17B5918B6549A3C469E6D28810AB" ma:contentTypeVersion="16" ma:contentTypeDescription="Crear nuevo documento." ma:contentTypeScope="" ma:versionID="6ace9801a9c6b57b3d419af9bb6e773d">
  <xsd:schema xmlns:xsd="http://www.w3.org/2001/XMLSchema" xmlns:xs="http://www.w3.org/2001/XMLSchema" xmlns:p="http://schemas.microsoft.com/office/2006/metadata/properties" xmlns:ns2="1f16ac70-26dc-4fe5-a210-844a183fa3ef" xmlns:ns3="3ecf851b-65a2-4cb2-8f68-dfd6ee8c3a15" targetNamespace="http://schemas.microsoft.com/office/2006/metadata/properties" ma:root="true" ma:fieldsID="5b0e99ded4df5c95c5e053f111e1fa80" ns2:_="" ns3:_="">
    <xsd:import namespace="1f16ac70-26dc-4fe5-a210-844a183fa3ef"/>
    <xsd:import namespace="3ecf851b-65a2-4cb2-8f68-dfd6ee8c3a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6ac70-26dc-4fe5-a210-844a183fa3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323f54df-432a-4796-b1ae-53a8f6a1d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f851b-65a2-4cb2-8f68-dfd6ee8c3a1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f6576e-84c6-4bc2-9148-29f4ffd3bd42}" ma:internalName="TaxCatchAll" ma:showField="CatchAllData" ma:web="3ecf851b-65a2-4cb2-8f68-dfd6ee8c3a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cf851b-65a2-4cb2-8f68-dfd6ee8c3a15" xsi:nil="true"/>
    <lcf76f155ced4ddcb4097134ff3c332f xmlns="1f16ac70-26dc-4fe5-a210-844a183fa3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84C8AC-A5CA-4F8A-A89D-E737D42FE1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E94E90-1EE3-4635-BBCE-36274B71952B}"/>
</file>

<file path=customXml/itemProps3.xml><?xml version="1.0" encoding="utf-8"?>
<ds:datastoreItem xmlns:ds="http://schemas.openxmlformats.org/officeDocument/2006/customXml" ds:itemID="{2BAC688C-1F53-4619-8AB1-32CEB11968D5}">
  <ds:schemaRefs>
    <ds:schemaRef ds:uri="http://schemas.microsoft.com/office/2006/metadata/properties"/>
    <ds:schemaRef ds:uri="http://schemas.microsoft.com/office/infopath/2007/PartnerControls"/>
    <ds:schemaRef ds:uri="3ecf851b-65a2-4cb2-8f68-dfd6ee8c3a15"/>
    <ds:schemaRef ds:uri="1f16ac70-26dc-4fe5-a210-844a183fa3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1846</Words>
  <Characters>10155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David Falcón</dc:creator>
  <cp:keywords/>
  <dc:description/>
  <cp:lastModifiedBy>Marga López Polo</cp:lastModifiedBy>
  <cp:revision>14</cp:revision>
  <dcterms:created xsi:type="dcterms:W3CDTF">2026-10-19T11:00:00Z</dcterms:created>
  <dcterms:modified xsi:type="dcterms:W3CDTF">2026-10-21T12:42:00Z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0x010100FB4A17B5918B6549A3C469E6D28810AB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