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49424" w14:textId="3F6C4EAB" w:rsidR="0065743B" w:rsidRDefault="00931C47" w:rsidP="0065743B">
      <w:pPr>
        <w:jc w:val="both"/>
        <w:rPr>
          <w:b/>
          <w:bCs/>
        </w:rPr>
      </w:pPr>
      <w:r>
        <w:rPr>
          <w:noProof/>
        </w:rPr>
        <w:drawing>
          <wp:anchor distT="0" distB="0" distL="114300" distR="114300" simplePos="0" relativeHeight="251658240" behindDoc="0" locked="0" layoutInCell="1" allowOverlap="1" wp14:anchorId="3912C625" wp14:editId="4D5D9CD6">
            <wp:simplePos x="0" y="0"/>
            <wp:positionH relativeFrom="margin">
              <wp:align>center</wp:align>
            </wp:positionH>
            <wp:positionV relativeFrom="paragraph">
              <wp:posOffset>-465455</wp:posOffset>
            </wp:positionV>
            <wp:extent cx="3366522" cy="1049070"/>
            <wp:effectExtent l="0" t="0" r="5715" b="0"/>
            <wp:wrapNone/>
            <wp:docPr id="930229746" name="Imagen 1" descr="Texto,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229746" name="Imagen 1" descr="Texto, Logotipo&#10;&#10;El contenido generado por IA puede ser incorrect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66522" cy="1049070"/>
                    </a:xfrm>
                    <a:prstGeom prst="rect">
                      <a:avLst/>
                    </a:prstGeom>
                  </pic:spPr>
                </pic:pic>
              </a:graphicData>
            </a:graphic>
            <wp14:sizeRelH relativeFrom="margin">
              <wp14:pctWidth>0</wp14:pctWidth>
            </wp14:sizeRelH>
            <wp14:sizeRelV relativeFrom="margin">
              <wp14:pctHeight>0</wp14:pctHeight>
            </wp14:sizeRelV>
          </wp:anchor>
        </w:drawing>
      </w:r>
    </w:p>
    <w:p w14:paraId="64220244" w14:textId="77777777" w:rsidR="0065743B" w:rsidRDefault="0065743B" w:rsidP="0065743B">
      <w:pPr>
        <w:jc w:val="both"/>
        <w:rPr>
          <w:b/>
          <w:bCs/>
        </w:rPr>
      </w:pPr>
    </w:p>
    <w:p w14:paraId="0C561B4A" w14:textId="77777777" w:rsidR="0069747C" w:rsidRPr="000F6FD4" w:rsidRDefault="0069747C" w:rsidP="00931C47">
      <w:pPr>
        <w:jc w:val="both"/>
        <w:rPr>
          <w:b/>
          <w:bCs/>
        </w:rPr>
      </w:pPr>
    </w:p>
    <w:p w14:paraId="156F9E81" w14:textId="196818F7" w:rsidR="000F6FD4" w:rsidRPr="00931C47" w:rsidRDefault="00931C47" w:rsidP="00BC4F28">
      <w:pPr>
        <w:jc w:val="both"/>
        <w:rPr>
          <w:b/>
          <w:bCs/>
          <w:sz w:val="28"/>
          <w:szCs w:val="28"/>
          <w:u w:val="single"/>
        </w:rPr>
      </w:pPr>
      <w:r w:rsidRPr="00931C47">
        <w:rPr>
          <w:b/>
          <w:bCs/>
          <w:sz w:val="28"/>
          <w:szCs w:val="28"/>
          <w:u w:val="single"/>
        </w:rPr>
        <w:t xml:space="preserve">* </w:t>
      </w:r>
      <w:r w:rsidR="0044124A" w:rsidRPr="00931C47">
        <w:rPr>
          <w:b/>
          <w:bCs/>
          <w:sz w:val="28"/>
          <w:szCs w:val="28"/>
          <w:u w:val="single"/>
        </w:rPr>
        <w:t xml:space="preserve">2 de mayo, </w:t>
      </w:r>
      <w:r w:rsidR="000F6FD4" w:rsidRPr="00931C47">
        <w:rPr>
          <w:b/>
          <w:bCs/>
          <w:sz w:val="28"/>
          <w:szCs w:val="28"/>
          <w:u w:val="single"/>
        </w:rPr>
        <w:t>Día Mundial de la Espondilitis Anquilosante</w:t>
      </w:r>
    </w:p>
    <w:p w14:paraId="78528CDD" w14:textId="77777777" w:rsidR="00931C47" w:rsidRPr="00231195" w:rsidRDefault="00931C47" w:rsidP="00931C47">
      <w:pPr>
        <w:jc w:val="both"/>
        <w:rPr>
          <w:rFonts w:ascii="Calibri" w:eastAsia="Calibri" w:hAnsi="Calibri" w:cs="Calibri"/>
          <w:b/>
          <w:bCs/>
          <w:sz w:val="28"/>
          <w:szCs w:val="28"/>
          <w:u w:val="single"/>
        </w:rPr>
      </w:pPr>
      <w:r w:rsidRPr="00231195">
        <w:rPr>
          <w:rFonts w:ascii="Calibri" w:hAnsi="Calibri" w:cs="Calibri"/>
          <w:b/>
          <w:sz w:val="28"/>
          <w:szCs w:val="28"/>
          <w:u w:val="single"/>
        </w:rPr>
        <w:t>NOTA DE PRENSA</w:t>
      </w:r>
    </w:p>
    <w:p w14:paraId="0159ACA3" w14:textId="67795B68" w:rsidR="00E67F31" w:rsidRPr="00E67F31" w:rsidRDefault="00931C47" w:rsidP="00931C47">
      <w:pPr>
        <w:pStyle w:val="NormalWeb"/>
        <w:jc w:val="both"/>
        <w:rPr>
          <w:rFonts w:asciiTheme="minorHAnsi" w:hAnsiTheme="minorHAnsi"/>
          <w:b/>
          <w:sz w:val="32"/>
          <w:szCs w:val="32"/>
        </w:rPr>
      </w:pPr>
      <w:r w:rsidRPr="00E67F31">
        <w:rPr>
          <w:rFonts w:asciiTheme="minorHAnsi" w:hAnsiTheme="minorHAnsi"/>
          <w:b/>
          <w:sz w:val="32"/>
          <w:szCs w:val="32"/>
        </w:rPr>
        <w:t xml:space="preserve">EL GEER </w:t>
      </w:r>
      <w:r>
        <w:rPr>
          <w:rFonts w:asciiTheme="minorHAnsi" w:hAnsiTheme="minorHAnsi"/>
          <w:b/>
          <w:sz w:val="32"/>
          <w:szCs w:val="32"/>
        </w:rPr>
        <w:t xml:space="preserve">SUBRAYA EL VALOR DEL </w:t>
      </w:r>
      <w:r w:rsidRPr="00E67F31">
        <w:rPr>
          <w:rFonts w:asciiTheme="minorHAnsi" w:hAnsiTheme="minorHAnsi"/>
          <w:b/>
          <w:sz w:val="32"/>
          <w:szCs w:val="32"/>
        </w:rPr>
        <w:t xml:space="preserve">DIAGNÓSTICO PRECOZ </w:t>
      </w:r>
      <w:r>
        <w:rPr>
          <w:rFonts w:asciiTheme="minorHAnsi" w:hAnsiTheme="minorHAnsi"/>
          <w:b/>
          <w:sz w:val="32"/>
          <w:szCs w:val="32"/>
        </w:rPr>
        <w:t>EN</w:t>
      </w:r>
      <w:r w:rsidRPr="00E67F31">
        <w:rPr>
          <w:rFonts w:asciiTheme="minorHAnsi" w:hAnsiTheme="minorHAnsi"/>
          <w:b/>
          <w:sz w:val="32"/>
          <w:szCs w:val="32"/>
        </w:rPr>
        <w:t xml:space="preserve"> LA</w:t>
      </w:r>
      <w:r>
        <w:rPr>
          <w:rFonts w:asciiTheme="minorHAnsi" w:hAnsiTheme="minorHAnsi"/>
          <w:b/>
          <w:sz w:val="32"/>
          <w:szCs w:val="32"/>
        </w:rPr>
        <w:t xml:space="preserve"> ESPONDILITIS ANQUILOSANTE EN UN CONTEXTO DE PROMETEDORES AVANCES TERAPÉUTICOS</w:t>
      </w:r>
    </w:p>
    <w:p w14:paraId="1D15C656" w14:textId="0FB20212" w:rsidR="00E67F31" w:rsidRPr="00D8752C" w:rsidRDefault="00E67F31" w:rsidP="00931C47">
      <w:pPr>
        <w:pStyle w:val="NormalWeb"/>
        <w:numPr>
          <w:ilvl w:val="0"/>
          <w:numId w:val="11"/>
        </w:numPr>
        <w:jc w:val="both"/>
        <w:rPr>
          <w:rStyle w:val="Fuerte"/>
          <w:rFonts w:ascii="Calibri" w:eastAsiaTheme="majorEastAsia" w:hAnsi="Calibri" w:cs="Calibri"/>
          <w:sz w:val="26"/>
          <w:szCs w:val="26"/>
        </w:rPr>
      </w:pPr>
      <w:r w:rsidRPr="00D8752C">
        <w:rPr>
          <w:rStyle w:val="Fuerte"/>
          <w:rFonts w:ascii="Calibri" w:eastAsiaTheme="majorEastAsia" w:hAnsi="Calibri" w:cs="Calibri"/>
          <w:sz w:val="26"/>
          <w:szCs w:val="26"/>
        </w:rPr>
        <w:t>Hasta</w:t>
      </w:r>
      <w:r w:rsidR="00931C47" w:rsidRPr="00D8752C">
        <w:rPr>
          <w:rStyle w:val="Fuerte"/>
          <w:rFonts w:ascii="Calibri" w:eastAsiaTheme="majorEastAsia" w:hAnsi="Calibri" w:cs="Calibri"/>
          <w:sz w:val="26"/>
          <w:szCs w:val="26"/>
        </w:rPr>
        <w:t xml:space="preserve"> </w:t>
      </w:r>
      <w:r w:rsidR="0065743B" w:rsidRPr="00D8752C">
        <w:rPr>
          <w:rStyle w:val="Fuerte"/>
          <w:rFonts w:ascii="Calibri" w:eastAsiaTheme="majorEastAsia" w:hAnsi="Calibri" w:cs="Calibri"/>
          <w:sz w:val="26"/>
          <w:szCs w:val="26"/>
        </w:rPr>
        <w:t xml:space="preserve">120.000 </w:t>
      </w:r>
      <w:r w:rsidRPr="00D8752C">
        <w:rPr>
          <w:rStyle w:val="Fuerte"/>
          <w:rFonts w:ascii="Calibri" w:eastAsiaTheme="majorEastAsia" w:hAnsi="Calibri" w:cs="Calibri"/>
          <w:sz w:val="26"/>
          <w:szCs w:val="26"/>
        </w:rPr>
        <w:t xml:space="preserve">personas podrían estar afectadas en España por una enfermedad que suele debutar </w:t>
      </w:r>
      <w:r w:rsidR="00BC4F28" w:rsidRPr="00D8752C">
        <w:rPr>
          <w:rStyle w:val="Fuerte"/>
          <w:rFonts w:ascii="Calibri" w:eastAsiaTheme="majorEastAsia" w:hAnsi="Calibri" w:cs="Calibri"/>
          <w:sz w:val="26"/>
          <w:szCs w:val="26"/>
        </w:rPr>
        <w:t xml:space="preserve">en jóvenes, </w:t>
      </w:r>
      <w:r w:rsidRPr="00D8752C">
        <w:rPr>
          <w:rStyle w:val="Fuerte"/>
          <w:rFonts w:ascii="Calibri" w:eastAsiaTheme="majorEastAsia" w:hAnsi="Calibri" w:cs="Calibri"/>
          <w:sz w:val="26"/>
          <w:szCs w:val="26"/>
        </w:rPr>
        <w:t>entre los 20 y 30 años</w:t>
      </w:r>
      <w:r w:rsidR="00BC4F28" w:rsidRPr="00D8752C">
        <w:rPr>
          <w:rStyle w:val="Fuerte"/>
          <w:rFonts w:ascii="Calibri" w:eastAsiaTheme="majorEastAsia" w:hAnsi="Calibri" w:cs="Calibri"/>
          <w:sz w:val="26"/>
          <w:szCs w:val="26"/>
        </w:rPr>
        <w:t>, y que tiene un impacto significativo en la calidad de vida y la actividad laboral</w:t>
      </w:r>
    </w:p>
    <w:p w14:paraId="58E4A6DB" w14:textId="4E17E3CB" w:rsidR="000F6FD4" w:rsidRPr="00931C47" w:rsidRDefault="000F6FD4" w:rsidP="00931C47">
      <w:pPr>
        <w:jc w:val="both"/>
        <w:rPr>
          <w:rFonts w:ascii="Calibri" w:hAnsi="Calibri" w:cs="Calibri"/>
          <w:sz w:val="24"/>
          <w:szCs w:val="24"/>
        </w:rPr>
      </w:pPr>
      <w:r w:rsidRPr="00931C47">
        <w:rPr>
          <w:rFonts w:ascii="Calibri" w:hAnsi="Calibri" w:cs="Calibri"/>
          <w:b/>
          <w:bCs/>
          <w:sz w:val="24"/>
          <w:szCs w:val="24"/>
        </w:rPr>
        <w:t xml:space="preserve">Madrid, </w:t>
      </w:r>
      <w:r w:rsidR="0044124A" w:rsidRPr="00931C47">
        <w:rPr>
          <w:rFonts w:ascii="Calibri" w:hAnsi="Calibri" w:cs="Calibri"/>
          <w:b/>
          <w:bCs/>
          <w:sz w:val="24"/>
          <w:szCs w:val="24"/>
        </w:rPr>
        <w:t>30 de abril de 2026</w:t>
      </w:r>
      <w:r w:rsidRPr="00931C47">
        <w:rPr>
          <w:rFonts w:ascii="Calibri" w:hAnsi="Calibri" w:cs="Calibri"/>
          <w:b/>
          <w:bCs/>
          <w:sz w:val="24"/>
          <w:szCs w:val="24"/>
        </w:rPr>
        <w:t>.–</w:t>
      </w:r>
      <w:r w:rsidRPr="00931C47">
        <w:rPr>
          <w:rFonts w:ascii="Calibri" w:hAnsi="Calibri" w:cs="Calibri"/>
          <w:sz w:val="24"/>
          <w:szCs w:val="24"/>
        </w:rPr>
        <w:t xml:space="preserve"> </w:t>
      </w:r>
      <w:r w:rsidR="0044124A" w:rsidRPr="00931C47">
        <w:rPr>
          <w:rFonts w:ascii="Calibri" w:hAnsi="Calibri" w:cs="Calibri"/>
          <w:sz w:val="24"/>
          <w:szCs w:val="24"/>
        </w:rPr>
        <w:t>Con motivo del Día Mundial de la Espondilitis Anquilosante, que se celebra el próximo día 2 de mayo, sábado, la</w:t>
      </w:r>
      <w:r w:rsidRPr="00931C47">
        <w:rPr>
          <w:rFonts w:ascii="Calibri" w:hAnsi="Calibri" w:cs="Calibri"/>
          <w:sz w:val="24"/>
          <w:szCs w:val="24"/>
        </w:rPr>
        <w:t xml:space="preserve"> Sociedad Española de Columna Vertebral</w:t>
      </w:r>
      <w:r w:rsidR="0044124A" w:rsidRPr="00931C47">
        <w:rPr>
          <w:rFonts w:ascii="Calibri" w:hAnsi="Calibri" w:cs="Calibri"/>
          <w:sz w:val="24"/>
          <w:szCs w:val="24"/>
        </w:rPr>
        <w:t xml:space="preserve"> (GEER)</w:t>
      </w:r>
      <w:r w:rsidRPr="00931C47">
        <w:rPr>
          <w:rFonts w:ascii="Calibri" w:hAnsi="Calibri" w:cs="Calibri"/>
          <w:sz w:val="24"/>
          <w:szCs w:val="24"/>
        </w:rPr>
        <w:t xml:space="preserve"> </w:t>
      </w:r>
      <w:r w:rsidR="00E67F31" w:rsidRPr="00931C47">
        <w:rPr>
          <w:rFonts w:ascii="Calibri" w:hAnsi="Calibri" w:cs="Calibri"/>
          <w:sz w:val="24"/>
          <w:szCs w:val="24"/>
        </w:rPr>
        <w:t xml:space="preserve">destaca la importancia de identificar de forma temprana esta enfermedad inflamatoria crónica, cuyo abordaje ha mejorado notablemente en los últimos años gracias a los avances en investigación y tratamiento. Se estima que hasta </w:t>
      </w:r>
      <w:r w:rsidR="0065743B" w:rsidRPr="00931C47">
        <w:rPr>
          <w:rFonts w:ascii="Calibri" w:hAnsi="Calibri" w:cs="Calibri"/>
          <w:sz w:val="24"/>
          <w:szCs w:val="24"/>
        </w:rPr>
        <w:t>120.000</w:t>
      </w:r>
      <w:r w:rsidR="00E67F31" w:rsidRPr="00931C47">
        <w:rPr>
          <w:rFonts w:ascii="Calibri" w:hAnsi="Calibri" w:cs="Calibri"/>
          <w:sz w:val="24"/>
          <w:szCs w:val="24"/>
        </w:rPr>
        <w:t xml:space="preserve"> personas podrían estar afectadas en España por una patología que suele debutar entre los 20 y 30 años y que tiene un impacto significativo en la calidad de vida y la actividad laboral.</w:t>
      </w:r>
    </w:p>
    <w:p w14:paraId="1634298A" w14:textId="02243F41" w:rsidR="000F6FD4" w:rsidRPr="00931C47" w:rsidRDefault="000F6FD4" w:rsidP="00931C47">
      <w:pPr>
        <w:jc w:val="both"/>
        <w:rPr>
          <w:rFonts w:ascii="Calibri" w:hAnsi="Calibri" w:cs="Calibri"/>
          <w:sz w:val="24"/>
          <w:szCs w:val="24"/>
        </w:rPr>
      </w:pPr>
      <w:r w:rsidRPr="00931C47">
        <w:rPr>
          <w:rFonts w:ascii="Calibri" w:hAnsi="Calibri" w:cs="Calibri"/>
          <w:sz w:val="24"/>
          <w:szCs w:val="24"/>
        </w:rPr>
        <w:t xml:space="preserve">La espondilitis anquilosante forma parte de las </w:t>
      </w:r>
      <w:proofErr w:type="spellStart"/>
      <w:r w:rsidRPr="00931C47">
        <w:rPr>
          <w:rFonts w:ascii="Calibri" w:hAnsi="Calibri" w:cs="Calibri"/>
          <w:sz w:val="24"/>
          <w:szCs w:val="24"/>
        </w:rPr>
        <w:t>espondiloartritis</w:t>
      </w:r>
      <w:proofErr w:type="spellEnd"/>
      <w:r w:rsidRPr="00931C47">
        <w:rPr>
          <w:rFonts w:ascii="Calibri" w:hAnsi="Calibri" w:cs="Calibri"/>
          <w:sz w:val="24"/>
          <w:szCs w:val="24"/>
        </w:rPr>
        <w:t xml:space="preserve">, cuya prevalencia global </w:t>
      </w:r>
      <w:r w:rsidR="0044124A" w:rsidRPr="00931C47">
        <w:rPr>
          <w:rFonts w:ascii="Calibri" w:hAnsi="Calibri" w:cs="Calibri"/>
          <w:sz w:val="24"/>
          <w:szCs w:val="24"/>
        </w:rPr>
        <w:t xml:space="preserve">es superior al </w:t>
      </w:r>
      <w:r w:rsidRPr="00931C47">
        <w:rPr>
          <w:rFonts w:ascii="Calibri" w:hAnsi="Calibri" w:cs="Calibri"/>
          <w:sz w:val="24"/>
          <w:szCs w:val="24"/>
        </w:rPr>
        <w:t xml:space="preserve">1% de la población. </w:t>
      </w:r>
      <w:r w:rsidR="0065743B" w:rsidRPr="00931C47">
        <w:rPr>
          <w:rFonts w:ascii="Calibri" w:hAnsi="Calibri" w:cs="Calibri"/>
          <w:sz w:val="24"/>
          <w:szCs w:val="24"/>
        </w:rPr>
        <w:t xml:space="preserve">En España, la prevalencia de la espondilitis anquilosante se sitúa en torno al 0,26% de la población adulta, según los datos del estudio poblacional EPISER 2016*. </w:t>
      </w:r>
      <w:r w:rsidRPr="00931C47">
        <w:rPr>
          <w:rFonts w:ascii="Calibri" w:hAnsi="Calibri" w:cs="Calibri"/>
          <w:sz w:val="24"/>
          <w:szCs w:val="24"/>
        </w:rPr>
        <w:t>En cuanto a su origen, la enfermedad tiene un componente multifactorial, con una fuerte asociación genética (especialmente el marcador HLA-B27), junto a factores ambientales y alteraciones del sistema inmunitario que desencadenan la inflamación.</w:t>
      </w:r>
    </w:p>
    <w:p w14:paraId="6A2A5943" w14:textId="77777777" w:rsidR="000F6FD4" w:rsidRPr="00931C47" w:rsidRDefault="000F6FD4" w:rsidP="00931C47">
      <w:pPr>
        <w:jc w:val="both"/>
        <w:rPr>
          <w:rFonts w:ascii="Calibri" w:hAnsi="Calibri" w:cs="Calibri"/>
          <w:sz w:val="24"/>
          <w:szCs w:val="24"/>
        </w:rPr>
      </w:pPr>
      <w:r w:rsidRPr="00931C47">
        <w:rPr>
          <w:rFonts w:ascii="Calibri" w:hAnsi="Calibri" w:cs="Calibri"/>
          <w:sz w:val="24"/>
          <w:szCs w:val="24"/>
        </w:rPr>
        <w:t>El síntoma más característico es el dolor lumbar inflamatorio, que aparece de forma progresiva, empeora con el reposo y mejora con el ejercicio, acompañado de rigidez matutina prolongada. Sin embargo, estos síntomas suelen confundirse con lumbalgia mecánica, lo que retrasa su diagnóstico.</w:t>
      </w:r>
    </w:p>
    <w:p w14:paraId="39F65666" w14:textId="2AB85991" w:rsidR="0044124A" w:rsidRPr="00931C47" w:rsidRDefault="0044124A" w:rsidP="00931C47">
      <w:pPr>
        <w:jc w:val="both"/>
        <w:rPr>
          <w:rFonts w:ascii="Calibri" w:hAnsi="Calibri" w:cs="Calibri"/>
          <w:sz w:val="24"/>
          <w:szCs w:val="24"/>
        </w:rPr>
      </w:pPr>
      <w:r w:rsidRPr="00931C47">
        <w:rPr>
          <w:rFonts w:ascii="Calibri" w:hAnsi="Calibri" w:cs="Calibri"/>
          <w:sz w:val="24"/>
          <w:szCs w:val="24"/>
        </w:rPr>
        <w:t xml:space="preserve">“El dolor lumbar en personas jóvenes no debe normalizarse sin una adecuada evaluación. </w:t>
      </w:r>
      <w:r w:rsidR="002B2F1E" w:rsidRPr="00931C47">
        <w:rPr>
          <w:rFonts w:ascii="Calibri" w:hAnsi="Calibri" w:cs="Calibri"/>
          <w:sz w:val="24"/>
          <w:szCs w:val="24"/>
        </w:rPr>
        <w:t xml:space="preserve">La sospecha diagnóstica </w:t>
      </w:r>
      <w:r w:rsidRPr="00931C47">
        <w:rPr>
          <w:rFonts w:ascii="Calibri" w:hAnsi="Calibri" w:cs="Calibri"/>
          <w:sz w:val="24"/>
          <w:szCs w:val="24"/>
        </w:rPr>
        <w:t>preco</w:t>
      </w:r>
      <w:r w:rsidR="002B2F1E" w:rsidRPr="00931C47">
        <w:rPr>
          <w:rFonts w:ascii="Calibri" w:hAnsi="Calibri" w:cs="Calibri"/>
          <w:sz w:val="24"/>
          <w:szCs w:val="24"/>
        </w:rPr>
        <w:t>z en</w:t>
      </w:r>
      <w:r w:rsidRPr="00931C47">
        <w:rPr>
          <w:rFonts w:ascii="Calibri" w:hAnsi="Calibri" w:cs="Calibri"/>
          <w:sz w:val="24"/>
          <w:szCs w:val="24"/>
        </w:rPr>
        <w:t xml:space="preserve"> la espondilitis anquilosante es clave para evitar la progresión de la enfermedad y sus consecuencias funcionales”, señala Rafael Llombart, presidente del Comité de Comunicación del GEER.</w:t>
      </w:r>
      <w:r w:rsidR="002B2F1E" w:rsidRPr="00931C47">
        <w:rPr>
          <w:rFonts w:ascii="Calibri" w:hAnsi="Calibri" w:cs="Calibri"/>
          <w:sz w:val="24"/>
          <w:szCs w:val="24"/>
        </w:rPr>
        <w:t xml:space="preserve"> </w:t>
      </w:r>
      <w:r w:rsidRPr="00931C47">
        <w:rPr>
          <w:rFonts w:ascii="Calibri" w:hAnsi="Calibri" w:cs="Calibri"/>
          <w:sz w:val="24"/>
          <w:szCs w:val="24"/>
        </w:rPr>
        <w:t xml:space="preserve">El retraso diagnóstico </w:t>
      </w:r>
      <w:r w:rsidRPr="00931C47">
        <w:rPr>
          <w:rFonts w:ascii="Calibri" w:hAnsi="Calibri" w:cs="Calibri"/>
          <w:sz w:val="24"/>
          <w:szCs w:val="24"/>
        </w:rPr>
        <w:lastRenderedPageBreak/>
        <w:t>puede prolongarse durante años, a pesar de que existen herramientas clínicas y tratamientos eficaces que permiten controlar la enfermedad.</w:t>
      </w:r>
    </w:p>
    <w:p w14:paraId="7DC043FE" w14:textId="28D9FFB4" w:rsidR="0044124A" w:rsidRPr="00931C47" w:rsidRDefault="0044124A" w:rsidP="00931C47">
      <w:pPr>
        <w:jc w:val="both"/>
        <w:rPr>
          <w:rFonts w:ascii="Calibri" w:hAnsi="Calibri" w:cs="Calibri"/>
          <w:sz w:val="24"/>
          <w:szCs w:val="24"/>
        </w:rPr>
      </w:pPr>
      <w:r w:rsidRPr="00931C47">
        <w:rPr>
          <w:rFonts w:ascii="Calibri" w:hAnsi="Calibri" w:cs="Calibri"/>
          <w:sz w:val="24"/>
          <w:szCs w:val="24"/>
        </w:rPr>
        <w:t>Desde el GEER se insiste en la importancia de mejorar la concienciación tanto en la población general como en el ámbito sanitario, especialmente en Atención Primaria, para favorecer la sospecha clínica y la derivación precoz al especialista.</w:t>
      </w:r>
    </w:p>
    <w:p w14:paraId="64082822" w14:textId="77777777" w:rsidR="000F6FD4" w:rsidRPr="00931C47" w:rsidRDefault="000F6FD4" w:rsidP="00931C47">
      <w:pPr>
        <w:jc w:val="both"/>
        <w:rPr>
          <w:rFonts w:ascii="Calibri" w:hAnsi="Calibri" w:cs="Calibri"/>
          <w:b/>
          <w:bCs/>
          <w:sz w:val="24"/>
          <w:szCs w:val="24"/>
        </w:rPr>
      </w:pPr>
      <w:r w:rsidRPr="00931C47">
        <w:rPr>
          <w:rFonts w:ascii="Calibri" w:hAnsi="Calibri" w:cs="Calibri"/>
          <w:b/>
          <w:bCs/>
          <w:sz w:val="24"/>
          <w:szCs w:val="24"/>
        </w:rPr>
        <w:t>Avances en investigación y tratamiento</w:t>
      </w:r>
    </w:p>
    <w:p w14:paraId="0337F2AF" w14:textId="0DE19E22" w:rsidR="000F6FD4" w:rsidRPr="00931C47" w:rsidRDefault="000F6FD4" w:rsidP="00931C47">
      <w:pPr>
        <w:jc w:val="both"/>
        <w:rPr>
          <w:rFonts w:ascii="Calibri" w:hAnsi="Calibri" w:cs="Calibri"/>
          <w:sz w:val="24"/>
          <w:szCs w:val="24"/>
        </w:rPr>
      </w:pPr>
      <w:r w:rsidRPr="00931C47">
        <w:rPr>
          <w:rFonts w:ascii="Calibri" w:hAnsi="Calibri" w:cs="Calibri"/>
          <w:sz w:val="24"/>
          <w:szCs w:val="24"/>
        </w:rPr>
        <w:t>En los últimos años se han producido avances muy significativos en el tratamiento de la espondilitis anquilosante, especialmente gracias al desarrollo de terapias dirigidas contra los mecanismos inflamatorios de la enfermedad.</w:t>
      </w:r>
      <w:r w:rsidR="002B2F1E" w:rsidRPr="00931C47">
        <w:rPr>
          <w:rFonts w:ascii="Calibri" w:hAnsi="Calibri" w:cs="Calibri"/>
          <w:sz w:val="24"/>
          <w:szCs w:val="24"/>
        </w:rPr>
        <w:t xml:space="preserve"> </w:t>
      </w:r>
      <w:r w:rsidRPr="00931C47">
        <w:rPr>
          <w:rFonts w:ascii="Calibri" w:hAnsi="Calibri" w:cs="Calibri"/>
          <w:sz w:val="24"/>
          <w:szCs w:val="24"/>
        </w:rPr>
        <w:t>El abordaje terapéutico incluye antiinflamatorios y ejercicio físico, pero en pacientes con enfermedad activa se dispone actualmente de tratamientos biológicos altamente eficaces, como los inhibidores del TNF y de la IL-17, que permiten controlar la inflamación y mejorar la calidad de vida.</w:t>
      </w:r>
      <w:r w:rsidR="002B2F1E" w:rsidRPr="00931C47">
        <w:rPr>
          <w:rFonts w:ascii="Calibri" w:hAnsi="Calibri" w:cs="Calibri"/>
          <w:sz w:val="24"/>
          <w:szCs w:val="24"/>
        </w:rPr>
        <w:t xml:space="preserve"> Se ha pasado de controlar el dolor a modular la respuesta inmune.</w:t>
      </w:r>
    </w:p>
    <w:p w14:paraId="15B8F40D" w14:textId="4493FF1C" w:rsidR="002B2F1E" w:rsidRPr="00931C47" w:rsidRDefault="000F6FD4" w:rsidP="00931C47">
      <w:pPr>
        <w:jc w:val="both"/>
        <w:rPr>
          <w:rFonts w:ascii="Calibri" w:hAnsi="Calibri" w:cs="Calibri"/>
          <w:sz w:val="24"/>
          <w:szCs w:val="24"/>
        </w:rPr>
      </w:pPr>
      <w:r w:rsidRPr="00931C47">
        <w:rPr>
          <w:rFonts w:ascii="Calibri" w:hAnsi="Calibri" w:cs="Calibri"/>
          <w:sz w:val="24"/>
          <w:szCs w:val="24"/>
        </w:rPr>
        <w:t>Además, nuevas opciones como los inhibidores de JAK y terapias innovadoras continúan ampliando las posibilidades de tratamiento, marcando un cambio relevante en el pronóstico de la enfermedad.</w:t>
      </w:r>
      <w:r w:rsidR="0069747C" w:rsidRPr="00931C47">
        <w:rPr>
          <w:rFonts w:ascii="Calibri" w:hAnsi="Calibri" w:cs="Calibri"/>
          <w:sz w:val="24"/>
          <w:szCs w:val="24"/>
        </w:rPr>
        <w:t xml:space="preserve"> La investigación se centra actualmente en identificar biomarcadores que permitan un diagnóstico más precoz, personalizar los tratamientos según el perfil del paciente y frenar la progresión estructural de la enfermedad</w:t>
      </w:r>
      <w:r w:rsidR="002B2F1E" w:rsidRPr="00931C47">
        <w:rPr>
          <w:rFonts w:ascii="Calibri" w:hAnsi="Calibri" w:cs="Calibri"/>
          <w:sz w:val="24"/>
          <w:szCs w:val="24"/>
        </w:rPr>
        <w:t xml:space="preserve">.  </w:t>
      </w:r>
    </w:p>
    <w:p w14:paraId="55574DEF" w14:textId="4B5EF5AE" w:rsidR="002B2F1E" w:rsidRPr="00931C47" w:rsidRDefault="002B2F1E" w:rsidP="00931C47">
      <w:pPr>
        <w:jc w:val="both"/>
        <w:rPr>
          <w:rFonts w:ascii="Calibri" w:hAnsi="Calibri" w:cs="Calibri"/>
          <w:sz w:val="24"/>
          <w:szCs w:val="24"/>
        </w:rPr>
      </w:pPr>
      <w:r w:rsidRPr="00931C47">
        <w:rPr>
          <w:rFonts w:ascii="Calibri" w:hAnsi="Calibri" w:cs="Calibri"/>
          <w:sz w:val="24"/>
          <w:szCs w:val="24"/>
        </w:rPr>
        <w:t xml:space="preserve">Otro avance estratégico es el enfoque multidisciplinar. En el tratamiento de la espondilitis deben de colaborar </w:t>
      </w:r>
      <w:proofErr w:type="spellStart"/>
      <w:r w:rsidRPr="00931C47">
        <w:rPr>
          <w:rFonts w:ascii="Calibri" w:hAnsi="Calibri" w:cs="Calibri"/>
          <w:sz w:val="24"/>
          <w:szCs w:val="24"/>
        </w:rPr>
        <w:t>reumátologos</w:t>
      </w:r>
      <w:proofErr w:type="spellEnd"/>
      <w:r w:rsidRPr="00931C47">
        <w:rPr>
          <w:rFonts w:ascii="Calibri" w:hAnsi="Calibri" w:cs="Calibri"/>
          <w:sz w:val="24"/>
          <w:szCs w:val="24"/>
        </w:rPr>
        <w:t xml:space="preserve">, rehabilitadores y </w:t>
      </w:r>
      <w:proofErr w:type="spellStart"/>
      <w:r w:rsidRPr="00931C47">
        <w:rPr>
          <w:rFonts w:ascii="Calibri" w:hAnsi="Calibri" w:cs="Calibri"/>
          <w:sz w:val="24"/>
          <w:szCs w:val="24"/>
        </w:rPr>
        <w:t>traumátologos</w:t>
      </w:r>
      <w:proofErr w:type="spellEnd"/>
      <w:r w:rsidRPr="00931C47">
        <w:rPr>
          <w:rFonts w:ascii="Calibri" w:hAnsi="Calibri" w:cs="Calibri"/>
          <w:sz w:val="24"/>
          <w:szCs w:val="24"/>
        </w:rPr>
        <w:t xml:space="preserve"> para preservar la movilidad y prevenir deformidades.  En la mayoría de los casos la cirugía tiene un papel muy limitado y principalmente “de rescate” ante fracturas o deformidades graves. </w:t>
      </w:r>
    </w:p>
    <w:p w14:paraId="2BECF2A3" w14:textId="1C818AC1" w:rsidR="0069747C" w:rsidRPr="00931C47" w:rsidRDefault="0069747C" w:rsidP="00931C47">
      <w:pPr>
        <w:jc w:val="both"/>
        <w:rPr>
          <w:rFonts w:ascii="Calibri" w:hAnsi="Calibri" w:cs="Calibri"/>
          <w:sz w:val="24"/>
          <w:szCs w:val="24"/>
        </w:rPr>
      </w:pPr>
      <w:r w:rsidRPr="00931C47">
        <w:rPr>
          <w:rFonts w:ascii="Calibri" w:hAnsi="Calibri" w:cs="Calibri"/>
          <w:sz w:val="24"/>
          <w:szCs w:val="24"/>
        </w:rPr>
        <w:t>“Todos estos avances han transformado el manejo de la espondilitis anquilosante, permitiendo en muchos casos un mejor control de la enfermedad y una vida activa para los pacientes”, explica Llombart.</w:t>
      </w:r>
    </w:p>
    <w:p w14:paraId="465E1231" w14:textId="37BDFBA7" w:rsidR="00931C47" w:rsidRPr="00931C47" w:rsidRDefault="00931C47" w:rsidP="00931C47">
      <w:pPr>
        <w:jc w:val="both"/>
        <w:rPr>
          <w:rFonts w:ascii="Calibri" w:hAnsi="Calibri" w:cs="Calibri"/>
          <w:sz w:val="24"/>
          <w:szCs w:val="24"/>
        </w:rPr>
      </w:pPr>
      <w:r w:rsidRPr="00931C47">
        <w:rPr>
          <w:rFonts w:ascii="Calibri" w:hAnsi="Calibri" w:cs="Calibri"/>
          <w:b/>
          <w:bCs/>
          <w:sz w:val="24"/>
          <w:szCs w:val="24"/>
        </w:rPr>
        <w:t xml:space="preserve">Sobre la Sociedad Española de Columna </w:t>
      </w:r>
    </w:p>
    <w:p w14:paraId="21ECCE26" w14:textId="77777777" w:rsidR="00931C47" w:rsidRPr="00931C47" w:rsidRDefault="00931C47" w:rsidP="00931C47">
      <w:pPr>
        <w:jc w:val="both"/>
        <w:rPr>
          <w:rFonts w:ascii="Calibri" w:hAnsi="Calibri" w:cs="Calibri"/>
          <w:sz w:val="24"/>
          <w:szCs w:val="24"/>
        </w:rPr>
      </w:pPr>
      <w:r w:rsidRPr="00931C47">
        <w:rPr>
          <w:rFonts w:ascii="Calibri" w:hAnsi="Calibri" w:cs="Calibri"/>
          <w:sz w:val="24"/>
          <w:szCs w:val="24"/>
        </w:rPr>
        <w:t xml:space="preserve">La Sociedad Española de Columna Vertebral es la sociedad científica que agrupa a médicos y cirujanos especialistas en el diagnóstico, prevención y tratamiento de las enfermedades de la columna vertebral en España. Entre sus objetivos está el intercambio de conocimientos entre profesionales y el acceso a información científica, y acercar a los ciudadanos el conocimiento de las enfermedades relacionadas con la columna vertebral. </w:t>
      </w:r>
    </w:p>
    <w:p w14:paraId="1BB2B828" w14:textId="77777777" w:rsidR="003A7773" w:rsidRDefault="00931C47" w:rsidP="00931C47">
      <w:pPr>
        <w:jc w:val="both"/>
        <w:rPr>
          <w:rFonts w:ascii="Calibri" w:hAnsi="Calibri" w:cs="Calibri"/>
          <w:sz w:val="24"/>
          <w:szCs w:val="24"/>
        </w:rPr>
      </w:pPr>
      <w:r w:rsidRPr="00931C47">
        <w:rPr>
          <w:rFonts w:ascii="Calibri" w:hAnsi="Calibri" w:cs="Calibri"/>
          <w:b/>
          <w:bCs/>
          <w:i/>
          <w:iCs/>
          <w:sz w:val="24"/>
          <w:szCs w:val="24"/>
        </w:rPr>
        <w:t xml:space="preserve">Para más información, contactar con Gabinete de Prensa GEER. </w:t>
      </w:r>
    </w:p>
    <w:p w14:paraId="58881FA2" w14:textId="03562AC0" w:rsidR="00931C47" w:rsidRPr="00931C47" w:rsidRDefault="00931C47" w:rsidP="00931C47">
      <w:pPr>
        <w:jc w:val="both"/>
        <w:rPr>
          <w:rFonts w:ascii="Calibri" w:hAnsi="Calibri" w:cs="Calibri"/>
          <w:sz w:val="24"/>
          <w:szCs w:val="24"/>
        </w:rPr>
      </w:pPr>
      <w:r w:rsidRPr="00931C47">
        <w:rPr>
          <w:rFonts w:ascii="Calibri" w:hAnsi="Calibri" w:cs="Calibri"/>
          <w:sz w:val="24"/>
          <w:szCs w:val="24"/>
        </w:rPr>
        <w:t xml:space="preserve">Euromedia Comunicación </w:t>
      </w:r>
    </w:p>
    <w:p w14:paraId="655DE3FE" w14:textId="6FCAE122" w:rsidR="00D23B57" w:rsidRPr="00931C47" w:rsidRDefault="00931C47" w:rsidP="00BC4F28">
      <w:pPr>
        <w:jc w:val="both"/>
        <w:rPr>
          <w:rFonts w:ascii="Calibri" w:hAnsi="Calibri" w:cs="Calibri"/>
          <w:sz w:val="24"/>
          <w:szCs w:val="24"/>
        </w:rPr>
      </w:pPr>
      <w:r w:rsidRPr="00931C47">
        <w:rPr>
          <w:rFonts w:ascii="Calibri" w:hAnsi="Calibri" w:cs="Calibri"/>
          <w:sz w:val="24"/>
          <w:szCs w:val="24"/>
        </w:rPr>
        <w:t>Manuela Hernández 651 86 72 78. Javier Barrera. 619 102 554</w:t>
      </w:r>
    </w:p>
    <w:p w14:paraId="78F0E17D" w14:textId="77777777" w:rsidR="00E6396E" w:rsidRDefault="00E6396E" w:rsidP="00BC4F28">
      <w:pPr>
        <w:jc w:val="both"/>
      </w:pPr>
    </w:p>
    <w:sectPr w:rsidR="00E6396E" w:rsidSect="00931C4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B2119" w14:textId="77777777" w:rsidR="00C16712" w:rsidRDefault="00C16712" w:rsidP="00931C47">
      <w:pPr>
        <w:spacing w:after="0" w:line="240" w:lineRule="auto"/>
      </w:pPr>
      <w:r>
        <w:separator/>
      </w:r>
    </w:p>
  </w:endnote>
  <w:endnote w:type="continuationSeparator" w:id="0">
    <w:p w14:paraId="2C7A1121" w14:textId="77777777" w:rsidR="00C16712" w:rsidRDefault="00C16712" w:rsidP="00931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altName w:val="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2EAF4" w14:textId="77777777" w:rsidR="00931C47" w:rsidRPr="00931C47" w:rsidRDefault="00931C47" w:rsidP="00931C47">
    <w:pPr>
      <w:jc w:val="both"/>
      <w:rPr>
        <w:rFonts w:ascii="Calibri" w:hAnsi="Calibri" w:cs="Calibri"/>
      </w:rPr>
    </w:pPr>
    <w:r w:rsidRPr="00931C47">
      <w:rPr>
        <w:rFonts w:ascii="Calibri" w:hAnsi="Calibri" w:cs="Calibri"/>
      </w:rPr>
      <w:t>*EPISER 2026 (publicado en 2019) es un estudio de la Sociedad Española de Reumatología (SER), basado en una muestra representativa de la población general y con confirmación diagnóstica por reumatólogos, que estima un intervalo de prevalencia entre el 0,14% y el 0,49%, lo que equivale aproximadamente a entre 100.000 y 120.000 personas afectadas en España.</w:t>
    </w:r>
  </w:p>
  <w:p w14:paraId="50FA0374" w14:textId="77777777" w:rsidR="00931C47" w:rsidRDefault="00931C4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01ABD" w14:textId="77777777" w:rsidR="00C16712" w:rsidRDefault="00C16712" w:rsidP="00931C47">
      <w:pPr>
        <w:spacing w:after="0" w:line="240" w:lineRule="auto"/>
      </w:pPr>
      <w:r>
        <w:separator/>
      </w:r>
    </w:p>
  </w:footnote>
  <w:footnote w:type="continuationSeparator" w:id="0">
    <w:p w14:paraId="698E73AD" w14:textId="77777777" w:rsidR="00C16712" w:rsidRDefault="00C16712" w:rsidP="00931C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26A9C"/>
    <w:multiLevelType w:val="multilevel"/>
    <w:tmpl w:val="6B702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C75C38"/>
    <w:multiLevelType w:val="multilevel"/>
    <w:tmpl w:val="3D8CA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A205A2"/>
    <w:multiLevelType w:val="multilevel"/>
    <w:tmpl w:val="B350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4E0A86"/>
    <w:multiLevelType w:val="multilevel"/>
    <w:tmpl w:val="CB449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9579F0"/>
    <w:multiLevelType w:val="hybridMultilevel"/>
    <w:tmpl w:val="890AB138"/>
    <w:lvl w:ilvl="0" w:tplc="FD1CE0B2">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8B6513B"/>
    <w:multiLevelType w:val="multilevel"/>
    <w:tmpl w:val="12686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8A6C94"/>
    <w:multiLevelType w:val="multilevel"/>
    <w:tmpl w:val="66FA2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DC125B"/>
    <w:multiLevelType w:val="multilevel"/>
    <w:tmpl w:val="AEE2C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9B1116"/>
    <w:multiLevelType w:val="multilevel"/>
    <w:tmpl w:val="5B66B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B36E5E"/>
    <w:multiLevelType w:val="multilevel"/>
    <w:tmpl w:val="92929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873156"/>
    <w:multiLevelType w:val="hybridMultilevel"/>
    <w:tmpl w:val="F912AA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007055825">
    <w:abstractNumId w:val="5"/>
  </w:num>
  <w:num w:numId="2" w16cid:durableId="1745227270">
    <w:abstractNumId w:val="2"/>
  </w:num>
  <w:num w:numId="3" w16cid:durableId="822232039">
    <w:abstractNumId w:val="8"/>
  </w:num>
  <w:num w:numId="4" w16cid:durableId="2118481039">
    <w:abstractNumId w:val="9"/>
  </w:num>
  <w:num w:numId="5" w16cid:durableId="1811165851">
    <w:abstractNumId w:val="1"/>
  </w:num>
  <w:num w:numId="6" w16cid:durableId="967711357">
    <w:abstractNumId w:val="0"/>
  </w:num>
  <w:num w:numId="7" w16cid:durableId="174461624">
    <w:abstractNumId w:val="6"/>
  </w:num>
  <w:num w:numId="8" w16cid:durableId="597520943">
    <w:abstractNumId w:val="3"/>
  </w:num>
  <w:num w:numId="9" w16cid:durableId="93861821">
    <w:abstractNumId w:val="7"/>
  </w:num>
  <w:num w:numId="10" w16cid:durableId="1472598740">
    <w:abstractNumId w:val="4"/>
  </w:num>
  <w:num w:numId="11" w16cid:durableId="19483417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6FA"/>
    <w:rsid w:val="000656FA"/>
    <w:rsid w:val="000F6FD4"/>
    <w:rsid w:val="002B2F1E"/>
    <w:rsid w:val="003A7773"/>
    <w:rsid w:val="0044124A"/>
    <w:rsid w:val="0065743B"/>
    <w:rsid w:val="00662B62"/>
    <w:rsid w:val="00665867"/>
    <w:rsid w:val="0069747C"/>
    <w:rsid w:val="00767045"/>
    <w:rsid w:val="00931C47"/>
    <w:rsid w:val="009A6EF2"/>
    <w:rsid w:val="00A136BF"/>
    <w:rsid w:val="00B821E9"/>
    <w:rsid w:val="00B96AF4"/>
    <w:rsid w:val="00BC4F28"/>
    <w:rsid w:val="00C16712"/>
    <w:rsid w:val="00D12A60"/>
    <w:rsid w:val="00D23B57"/>
    <w:rsid w:val="00D8752C"/>
    <w:rsid w:val="00E6396E"/>
    <w:rsid w:val="00E67F31"/>
    <w:rsid w:val="00F20997"/>
    <w:rsid w:val="00F357D8"/>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890DF7"/>
  <w15:chartTrackingRefBased/>
  <w15:docId w15:val="{FDD6FCE5-07CD-4A72-AEE2-29ECD134C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656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656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656F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656F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656F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656F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656F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656F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656F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656F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656F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656F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656F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656F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656F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656F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656F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656FA"/>
    <w:rPr>
      <w:rFonts w:eastAsiaTheme="majorEastAsia" w:cstheme="majorBidi"/>
      <w:color w:val="272727" w:themeColor="text1" w:themeTint="D8"/>
    </w:rPr>
  </w:style>
  <w:style w:type="paragraph" w:styleId="Ttulo">
    <w:name w:val="Title"/>
    <w:basedOn w:val="Normal"/>
    <w:next w:val="Normal"/>
    <w:link w:val="TtuloCar"/>
    <w:uiPriority w:val="10"/>
    <w:qFormat/>
    <w:rsid w:val="000656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656F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656F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656F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656FA"/>
    <w:pPr>
      <w:spacing w:before="160"/>
      <w:jc w:val="center"/>
    </w:pPr>
    <w:rPr>
      <w:i/>
      <w:iCs/>
      <w:color w:val="404040" w:themeColor="text1" w:themeTint="BF"/>
    </w:rPr>
  </w:style>
  <w:style w:type="character" w:customStyle="1" w:styleId="CitaCar">
    <w:name w:val="Cita Car"/>
    <w:basedOn w:val="Fuentedeprrafopredeter"/>
    <w:link w:val="Cita"/>
    <w:uiPriority w:val="29"/>
    <w:rsid w:val="000656FA"/>
    <w:rPr>
      <w:i/>
      <w:iCs/>
      <w:color w:val="404040" w:themeColor="text1" w:themeTint="BF"/>
    </w:rPr>
  </w:style>
  <w:style w:type="paragraph" w:styleId="Prrafodelista">
    <w:name w:val="List Paragraph"/>
    <w:basedOn w:val="Normal"/>
    <w:uiPriority w:val="34"/>
    <w:qFormat/>
    <w:rsid w:val="000656FA"/>
    <w:pPr>
      <w:ind w:left="720"/>
      <w:contextualSpacing/>
    </w:pPr>
  </w:style>
  <w:style w:type="character" w:styleId="nfasisintenso">
    <w:name w:val="Intense Emphasis"/>
    <w:basedOn w:val="Fuentedeprrafopredeter"/>
    <w:uiPriority w:val="21"/>
    <w:qFormat/>
    <w:rsid w:val="000656FA"/>
    <w:rPr>
      <w:i/>
      <w:iCs/>
      <w:color w:val="0F4761" w:themeColor="accent1" w:themeShade="BF"/>
    </w:rPr>
  </w:style>
  <w:style w:type="paragraph" w:styleId="Citadestacada">
    <w:name w:val="Intense Quote"/>
    <w:basedOn w:val="Normal"/>
    <w:next w:val="Normal"/>
    <w:link w:val="CitadestacadaCar"/>
    <w:uiPriority w:val="30"/>
    <w:qFormat/>
    <w:rsid w:val="000656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656FA"/>
    <w:rPr>
      <w:i/>
      <w:iCs/>
      <w:color w:val="0F4761" w:themeColor="accent1" w:themeShade="BF"/>
    </w:rPr>
  </w:style>
  <w:style w:type="character" w:styleId="Referenciaintensa">
    <w:name w:val="Intense Reference"/>
    <w:basedOn w:val="Fuentedeprrafopredeter"/>
    <w:uiPriority w:val="32"/>
    <w:qFormat/>
    <w:rsid w:val="000656FA"/>
    <w:rPr>
      <w:b/>
      <w:bCs/>
      <w:smallCaps/>
      <w:color w:val="0F4761" w:themeColor="accent1" w:themeShade="BF"/>
      <w:spacing w:val="5"/>
    </w:rPr>
  </w:style>
  <w:style w:type="paragraph" w:styleId="NormalWeb">
    <w:name w:val="Normal (Web)"/>
    <w:basedOn w:val="Normal"/>
    <w:uiPriority w:val="99"/>
    <w:semiHidden/>
    <w:unhideWhenUsed/>
    <w:rsid w:val="00E67F31"/>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character" w:styleId="Fuerte">
    <w:name w:val="Strong"/>
    <w:basedOn w:val="Fuentedeprrafopredeter"/>
    <w:uiPriority w:val="22"/>
    <w:qFormat/>
    <w:rsid w:val="00E67F31"/>
    <w:rPr>
      <w:b/>
      <w:bCs/>
    </w:rPr>
  </w:style>
  <w:style w:type="paragraph" w:styleId="Revisin">
    <w:name w:val="Revision"/>
    <w:hidden/>
    <w:uiPriority w:val="99"/>
    <w:semiHidden/>
    <w:rsid w:val="002B2F1E"/>
    <w:pPr>
      <w:spacing w:after="0" w:line="240" w:lineRule="auto"/>
    </w:pPr>
  </w:style>
  <w:style w:type="character" w:styleId="Refdecomentario">
    <w:name w:val="annotation reference"/>
    <w:basedOn w:val="Fuentedeprrafopredeter"/>
    <w:uiPriority w:val="99"/>
    <w:semiHidden/>
    <w:unhideWhenUsed/>
    <w:rsid w:val="00665867"/>
    <w:rPr>
      <w:sz w:val="16"/>
      <w:szCs w:val="16"/>
    </w:rPr>
  </w:style>
  <w:style w:type="paragraph" w:styleId="Textocomentario">
    <w:name w:val="annotation text"/>
    <w:basedOn w:val="Normal"/>
    <w:link w:val="TextocomentarioCar"/>
    <w:uiPriority w:val="99"/>
    <w:semiHidden/>
    <w:unhideWhenUsed/>
    <w:rsid w:val="0066586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65867"/>
    <w:rPr>
      <w:sz w:val="20"/>
      <w:szCs w:val="20"/>
    </w:rPr>
  </w:style>
  <w:style w:type="paragraph" w:styleId="Asuntodelcomentario">
    <w:name w:val="annotation subject"/>
    <w:basedOn w:val="Textocomentario"/>
    <w:next w:val="Textocomentario"/>
    <w:link w:val="AsuntodelcomentarioCar"/>
    <w:uiPriority w:val="99"/>
    <w:semiHidden/>
    <w:unhideWhenUsed/>
    <w:rsid w:val="00665867"/>
    <w:rPr>
      <w:b/>
      <w:bCs/>
    </w:rPr>
  </w:style>
  <w:style w:type="character" w:customStyle="1" w:styleId="AsuntodelcomentarioCar">
    <w:name w:val="Asunto del comentario Car"/>
    <w:basedOn w:val="TextocomentarioCar"/>
    <w:link w:val="Asuntodelcomentario"/>
    <w:uiPriority w:val="99"/>
    <w:semiHidden/>
    <w:rsid w:val="00665867"/>
    <w:rPr>
      <w:b/>
      <w:bCs/>
      <w:sz w:val="20"/>
      <w:szCs w:val="20"/>
    </w:rPr>
  </w:style>
  <w:style w:type="paragraph" w:styleId="Encabezado">
    <w:name w:val="header"/>
    <w:basedOn w:val="Normal"/>
    <w:link w:val="EncabezadoCar"/>
    <w:uiPriority w:val="99"/>
    <w:unhideWhenUsed/>
    <w:rsid w:val="00931C4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1C47"/>
  </w:style>
  <w:style w:type="paragraph" w:styleId="Piedepgina">
    <w:name w:val="footer"/>
    <w:basedOn w:val="Normal"/>
    <w:link w:val="PiedepginaCar"/>
    <w:uiPriority w:val="99"/>
    <w:unhideWhenUsed/>
    <w:rsid w:val="00931C4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1C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22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733</Words>
  <Characters>4036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Euromedia Comunicación</dc:creator>
  <cp:keywords/>
  <dc:description/>
  <cp:lastModifiedBy>Euromedia Grupo 2</cp:lastModifiedBy>
  <cp:revision>6</cp:revision>
  <dcterms:created xsi:type="dcterms:W3CDTF">2026-04-28T07:07:00Z</dcterms:created>
  <dcterms:modified xsi:type="dcterms:W3CDTF">2026-04-30T07:32:00Z</dcterms:modified>
</cp:coreProperties>
</file>