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BA56" w14:textId="00BE079A" w:rsidR="006C4654" w:rsidRPr="00133027" w:rsidRDefault="009344EC" w:rsidP="00677AA6">
      <w:pPr>
        <w:spacing w:after="0" w:line="240" w:lineRule="auto"/>
        <w:jc w:val="center"/>
        <w:outlineLvl w:val="1"/>
        <w:rPr>
          <w:rFonts w:eastAsia="Times New Roman" w:cstheme="minorHAnsi"/>
          <w:b/>
          <w:bCs/>
          <w:sz w:val="24"/>
          <w:szCs w:val="24"/>
          <w:u w:val="single"/>
          <w:lang w:eastAsia="es-ES"/>
        </w:rPr>
      </w:pPr>
      <w:r w:rsidRPr="00133027">
        <w:rPr>
          <w:noProof/>
          <w:sz w:val="24"/>
          <w:szCs w:val="24"/>
        </w:rPr>
        <w:drawing>
          <wp:anchor distT="0" distB="0" distL="114300" distR="114300" simplePos="0" relativeHeight="251658240" behindDoc="1" locked="0" layoutInCell="1" allowOverlap="1" wp14:anchorId="41338C95" wp14:editId="0C26706E">
            <wp:simplePos x="0" y="0"/>
            <wp:positionH relativeFrom="margin">
              <wp:posOffset>1480185</wp:posOffset>
            </wp:positionH>
            <wp:positionV relativeFrom="margin">
              <wp:align>top</wp:align>
            </wp:positionV>
            <wp:extent cx="2598420" cy="946785"/>
            <wp:effectExtent l="0" t="0" r="0" b="5715"/>
            <wp:wrapTopAndBottom/>
            <wp:docPr id="120800122" name="Imagen 2" descr="38 Congreso Nacional de la Sociedad Española de Columna Vertebral. Málaga  29 al 31 de mayo d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 Congreso Nacional de la Sociedad Española de Columna Vertebral. Málaga  29 al 31 de mayo de 2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8420" cy="94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97A12" w14:textId="77777777" w:rsidR="00E26B66" w:rsidRDefault="00E26B66" w:rsidP="00E26B66">
      <w:pPr>
        <w:spacing w:after="0" w:line="240" w:lineRule="auto"/>
        <w:outlineLvl w:val="1"/>
        <w:rPr>
          <w:rFonts w:eastAsia="Times New Roman" w:cstheme="minorHAnsi"/>
          <w:b/>
          <w:bCs/>
          <w:sz w:val="24"/>
          <w:szCs w:val="24"/>
          <w:lang w:eastAsia="es-ES"/>
        </w:rPr>
      </w:pPr>
    </w:p>
    <w:p w14:paraId="2DA4DA94" w14:textId="382AC3D2" w:rsidR="004E4F0F" w:rsidRPr="004E4F0F" w:rsidRDefault="004E4F0F" w:rsidP="00C46D31">
      <w:pPr>
        <w:spacing w:after="0" w:line="240" w:lineRule="auto"/>
        <w:jc w:val="both"/>
        <w:outlineLvl w:val="1"/>
        <w:rPr>
          <w:rFonts w:eastAsia="Times New Roman" w:cstheme="minorHAnsi"/>
          <w:b/>
          <w:bCs/>
          <w:sz w:val="28"/>
          <w:szCs w:val="28"/>
          <w:u w:val="single"/>
          <w:lang w:eastAsia="es-ES"/>
        </w:rPr>
      </w:pPr>
      <w:r w:rsidRPr="004E4F0F">
        <w:rPr>
          <w:rFonts w:eastAsia="Times New Roman" w:cstheme="minorHAnsi"/>
          <w:b/>
          <w:bCs/>
          <w:sz w:val="28"/>
          <w:szCs w:val="28"/>
          <w:u w:val="single"/>
          <w:lang w:eastAsia="es-ES"/>
        </w:rPr>
        <w:t>El GEER lidera</w:t>
      </w:r>
      <w:r w:rsidR="00677AA6">
        <w:rPr>
          <w:rFonts w:eastAsia="Times New Roman" w:cstheme="minorHAnsi"/>
          <w:b/>
          <w:bCs/>
          <w:sz w:val="28"/>
          <w:szCs w:val="28"/>
          <w:u w:val="single"/>
          <w:lang w:eastAsia="es-ES"/>
        </w:rPr>
        <w:t xml:space="preserve"> este</w:t>
      </w:r>
      <w:r w:rsidRPr="004E4F0F">
        <w:rPr>
          <w:rFonts w:eastAsia="Times New Roman" w:cstheme="minorHAnsi"/>
          <w:b/>
          <w:bCs/>
          <w:sz w:val="28"/>
          <w:szCs w:val="28"/>
          <w:u w:val="single"/>
          <w:lang w:eastAsia="es-ES"/>
        </w:rPr>
        <w:t xml:space="preserve"> trabajo multidisciplinar con 64 expertos de la SERMEF, SEGG, SEEM, SEIOMM, SERAM y SECOT </w:t>
      </w:r>
    </w:p>
    <w:p w14:paraId="2ED531B5" w14:textId="77777777" w:rsidR="00E26B66" w:rsidRDefault="00E26B66" w:rsidP="00C46D31">
      <w:pPr>
        <w:spacing w:after="0" w:line="240" w:lineRule="auto"/>
        <w:jc w:val="both"/>
        <w:outlineLvl w:val="1"/>
        <w:rPr>
          <w:rFonts w:eastAsia="Times New Roman" w:cstheme="minorHAnsi"/>
          <w:b/>
          <w:bCs/>
          <w:sz w:val="24"/>
          <w:szCs w:val="24"/>
          <w:lang w:eastAsia="es-ES"/>
        </w:rPr>
      </w:pPr>
    </w:p>
    <w:p w14:paraId="43E0BE20" w14:textId="5C0B5171" w:rsidR="00E26B66" w:rsidRPr="00E26B66" w:rsidRDefault="00E26B66" w:rsidP="00C46D31">
      <w:pPr>
        <w:spacing w:after="0" w:line="240" w:lineRule="auto"/>
        <w:jc w:val="both"/>
        <w:outlineLvl w:val="0"/>
        <w:rPr>
          <w:rFonts w:eastAsia="Times New Roman" w:cstheme="minorHAnsi"/>
          <w:b/>
          <w:bCs/>
          <w:kern w:val="36"/>
          <w:sz w:val="34"/>
          <w:szCs w:val="34"/>
          <w:lang w:eastAsia="es-ES"/>
        </w:rPr>
      </w:pPr>
      <w:r w:rsidRPr="00E26B66">
        <w:rPr>
          <w:rFonts w:eastAsia="Times New Roman" w:cstheme="minorHAnsi"/>
          <w:b/>
          <w:bCs/>
          <w:kern w:val="36"/>
          <w:sz w:val="34"/>
          <w:szCs w:val="34"/>
          <w:lang w:eastAsia="es-ES"/>
        </w:rPr>
        <w:t>UN CONSENSO NACIONAL FIJA POR PRIMERA VEZ CRITERIOS UNIFICADOS PARA EL MANEJO DE LA FRACTURA VERTEBRAL OSTEOPORÓTICA EN ESPAÑA</w:t>
      </w:r>
    </w:p>
    <w:p w14:paraId="1FEAB582" w14:textId="77777777" w:rsidR="00E26B66" w:rsidRDefault="00E26B66" w:rsidP="00C46D31">
      <w:pPr>
        <w:spacing w:after="0" w:line="240" w:lineRule="auto"/>
        <w:jc w:val="both"/>
        <w:outlineLvl w:val="1"/>
        <w:rPr>
          <w:rFonts w:eastAsia="Times New Roman" w:cstheme="minorHAnsi"/>
          <w:b/>
          <w:bCs/>
          <w:sz w:val="24"/>
          <w:szCs w:val="24"/>
          <w:lang w:eastAsia="es-ES"/>
        </w:rPr>
      </w:pPr>
    </w:p>
    <w:p w14:paraId="0A41F494" w14:textId="4F16FDBB" w:rsidR="00E26B66" w:rsidRPr="009344EC" w:rsidRDefault="00E26B66" w:rsidP="009344EC">
      <w:pPr>
        <w:pStyle w:val="Prrafodelista"/>
        <w:numPr>
          <w:ilvl w:val="0"/>
          <w:numId w:val="1"/>
        </w:numPr>
        <w:spacing w:after="0" w:line="240" w:lineRule="auto"/>
        <w:jc w:val="both"/>
        <w:outlineLvl w:val="1"/>
        <w:rPr>
          <w:rFonts w:eastAsia="Times New Roman" w:cstheme="minorHAnsi"/>
          <w:b/>
          <w:bCs/>
          <w:sz w:val="28"/>
          <w:szCs w:val="28"/>
          <w:lang w:eastAsia="es-ES"/>
        </w:rPr>
      </w:pPr>
      <w:r w:rsidRPr="009344EC">
        <w:rPr>
          <w:rFonts w:eastAsia="Times New Roman" w:cstheme="minorHAnsi"/>
          <w:b/>
          <w:bCs/>
          <w:sz w:val="28"/>
          <w:szCs w:val="28"/>
          <w:lang w:eastAsia="es-ES"/>
        </w:rPr>
        <w:t>El documento armoniza diagnóstico, tratamiento precoz y seguimiento para reducir la variabilidad asistencial</w:t>
      </w:r>
    </w:p>
    <w:p w14:paraId="1F5075A9" w14:textId="77777777" w:rsidR="00E26B66" w:rsidRPr="009344EC" w:rsidRDefault="00E26B66" w:rsidP="00C46D31">
      <w:pPr>
        <w:spacing w:after="0" w:line="240" w:lineRule="auto"/>
        <w:jc w:val="both"/>
        <w:outlineLvl w:val="1"/>
        <w:rPr>
          <w:rFonts w:eastAsia="Times New Roman" w:cstheme="minorHAnsi"/>
          <w:b/>
          <w:bCs/>
          <w:sz w:val="28"/>
          <w:szCs w:val="28"/>
          <w:lang w:eastAsia="es-ES"/>
        </w:rPr>
      </w:pPr>
    </w:p>
    <w:p w14:paraId="6CBE8818" w14:textId="327E9A54" w:rsidR="00E26B66" w:rsidRPr="009344EC" w:rsidRDefault="00E26B66" w:rsidP="009344EC">
      <w:pPr>
        <w:pStyle w:val="Prrafodelista"/>
        <w:numPr>
          <w:ilvl w:val="0"/>
          <w:numId w:val="1"/>
        </w:numPr>
        <w:spacing w:after="0" w:line="240" w:lineRule="auto"/>
        <w:jc w:val="both"/>
        <w:outlineLvl w:val="1"/>
        <w:rPr>
          <w:rFonts w:eastAsia="Times New Roman" w:cstheme="minorHAnsi"/>
          <w:b/>
          <w:bCs/>
          <w:sz w:val="28"/>
          <w:szCs w:val="28"/>
          <w:lang w:eastAsia="es-ES"/>
        </w:rPr>
      </w:pPr>
      <w:r w:rsidRPr="009344EC">
        <w:rPr>
          <w:rFonts w:eastAsia="Times New Roman" w:cstheme="minorHAnsi"/>
          <w:b/>
          <w:bCs/>
          <w:sz w:val="28"/>
          <w:szCs w:val="28"/>
          <w:lang w:eastAsia="es-ES"/>
        </w:rPr>
        <w:t xml:space="preserve">La fractura vertebral </w:t>
      </w:r>
      <w:r w:rsidR="006C4654" w:rsidRPr="009344EC">
        <w:rPr>
          <w:rFonts w:eastAsia="Times New Roman" w:cstheme="minorHAnsi"/>
          <w:b/>
          <w:bCs/>
          <w:sz w:val="28"/>
          <w:szCs w:val="28"/>
          <w:lang w:eastAsia="es-ES"/>
        </w:rPr>
        <w:t xml:space="preserve">por osteoporosis </w:t>
      </w:r>
      <w:r w:rsidRPr="009344EC">
        <w:rPr>
          <w:rFonts w:eastAsia="Times New Roman" w:cstheme="minorHAnsi"/>
          <w:b/>
          <w:bCs/>
          <w:sz w:val="28"/>
          <w:szCs w:val="28"/>
          <w:lang w:eastAsia="es-ES"/>
        </w:rPr>
        <w:t>multiplica el riesgo de nuevas fracturas y aumenta la dependencia</w:t>
      </w:r>
      <w:r w:rsidR="006C4654" w:rsidRPr="009344EC">
        <w:rPr>
          <w:rFonts w:eastAsia="Times New Roman" w:cstheme="minorHAnsi"/>
          <w:b/>
          <w:bCs/>
          <w:sz w:val="28"/>
          <w:szCs w:val="28"/>
          <w:lang w:eastAsia="es-ES"/>
        </w:rPr>
        <w:t xml:space="preserve"> de un cuidador</w:t>
      </w:r>
    </w:p>
    <w:p w14:paraId="6477E74B" w14:textId="77777777" w:rsidR="000E5A5D" w:rsidRPr="009344EC" w:rsidRDefault="000E5A5D" w:rsidP="00C46D31">
      <w:pPr>
        <w:spacing w:after="0" w:line="240" w:lineRule="auto"/>
        <w:jc w:val="both"/>
        <w:outlineLvl w:val="1"/>
        <w:rPr>
          <w:rFonts w:eastAsia="Times New Roman" w:cstheme="minorHAnsi"/>
          <w:b/>
          <w:bCs/>
          <w:sz w:val="28"/>
          <w:szCs w:val="28"/>
          <w:lang w:eastAsia="es-ES"/>
        </w:rPr>
      </w:pPr>
    </w:p>
    <w:p w14:paraId="66F11BB5" w14:textId="4010E086" w:rsidR="000E5A5D" w:rsidRPr="009344EC" w:rsidRDefault="000E5A5D" w:rsidP="009344EC">
      <w:pPr>
        <w:pStyle w:val="Prrafodelista"/>
        <w:numPr>
          <w:ilvl w:val="0"/>
          <w:numId w:val="1"/>
        </w:numPr>
        <w:spacing w:after="0" w:line="240" w:lineRule="auto"/>
        <w:jc w:val="both"/>
        <w:outlineLvl w:val="1"/>
        <w:rPr>
          <w:rFonts w:eastAsia="Times New Roman" w:cstheme="minorHAnsi"/>
          <w:b/>
          <w:bCs/>
          <w:sz w:val="28"/>
          <w:szCs w:val="28"/>
          <w:lang w:eastAsia="es-ES"/>
        </w:rPr>
      </w:pPr>
      <w:r w:rsidRPr="009344EC">
        <w:rPr>
          <w:b/>
          <w:sz w:val="28"/>
          <w:szCs w:val="28"/>
        </w:rPr>
        <w:t>El envejecimiento de la población española anticipa un aumento sostenido del número de personas en riesgo de fracturas por fragilidad</w:t>
      </w:r>
    </w:p>
    <w:p w14:paraId="4AC0EB6F" w14:textId="77777777" w:rsidR="00E26B66" w:rsidRPr="009344EC" w:rsidRDefault="00E26B66" w:rsidP="00C46D31">
      <w:pPr>
        <w:spacing w:after="0" w:line="240" w:lineRule="auto"/>
        <w:jc w:val="both"/>
        <w:outlineLvl w:val="1"/>
        <w:rPr>
          <w:rFonts w:eastAsia="Times New Roman" w:cstheme="minorHAnsi"/>
          <w:b/>
          <w:bCs/>
          <w:sz w:val="24"/>
          <w:szCs w:val="24"/>
          <w:lang w:eastAsia="es-ES"/>
        </w:rPr>
      </w:pPr>
    </w:p>
    <w:p w14:paraId="6614E4C1" w14:textId="199AA07B" w:rsidR="000E5A5D" w:rsidRPr="009344EC" w:rsidRDefault="000E5A5D" w:rsidP="009344EC">
      <w:pPr>
        <w:pStyle w:val="Prrafodelista"/>
        <w:numPr>
          <w:ilvl w:val="0"/>
          <w:numId w:val="1"/>
        </w:numPr>
        <w:spacing w:after="0" w:line="240" w:lineRule="auto"/>
        <w:jc w:val="both"/>
        <w:outlineLvl w:val="1"/>
        <w:rPr>
          <w:rFonts w:eastAsia="Times New Roman" w:cstheme="minorHAnsi"/>
          <w:b/>
          <w:sz w:val="28"/>
          <w:szCs w:val="28"/>
          <w:lang w:eastAsia="es-ES"/>
        </w:rPr>
      </w:pPr>
      <w:r w:rsidRPr="009344EC">
        <w:rPr>
          <w:rFonts w:eastAsia="Times New Roman" w:cstheme="minorHAnsi"/>
          <w:b/>
          <w:sz w:val="28"/>
          <w:szCs w:val="28"/>
          <w:lang w:eastAsia="es-ES"/>
        </w:rPr>
        <w:t>El 22-25% de las mujeres mayores de 50 años presenta osteoporosis, proporción que aumenta de forma significativa a partir de los 70 años</w:t>
      </w:r>
    </w:p>
    <w:p w14:paraId="4A989B60" w14:textId="77777777" w:rsidR="000E5A5D" w:rsidRDefault="000E5A5D" w:rsidP="00C46D31">
      <w:pPr>
        <w:spacing w:after="0" w:line="240" w:lineRule="auto"/>
        <w:jc w:val="both"/>
        <w:outlineLvl w:val="1"/>
        <w:rPr>
          <w:rFonts w:eastAsia="Times New Roman" w:cstheme="minorHAnsi"/>
          <w:b/>
          <w:bCs/>
          <w:sz w:val="24"/>
          <w:szCs w:val="24"/>
          <w:lang w:eastAsia="es-ES"/>
        </w:rPr>
      </w:pPr>
    </w:p>
    <w:p w14:paraId="6C138D73" w14:textId="33D0B5BE" w:rsidR="006C4654" w:rsidRPr="006C4654" w:rsidRDefault="00E26B66" w:rsidP="00C46D31">
      <w:pPr>
        <w:spacing w:after="0" w:line="240" w:lineRule="auto"/>
        <w:jc w:val="both"/>
        <w:rPr>
          <w:rFonts w:eastAsia="Times New Roman" w:cstheme="minorHAnsi"/>
          <w:sz w:val="24"/>
          <w:szCs w:val="24"/>
          <w:lang w:eastAsia="es-ES"/>
        </w:rPr>
      </w:pPr>
      <w:r w:rsidRPr="00E26B66">
        <w:rPr>
          <w:rFonts w:eastAsia="Times New Roman" w:cstheme="minorHAnsi"/>
          <w:b/>
          <w:sz w:val="24"/>
          <w:szCs w:val="24"/>
          <w:lang w:eastAsia="es-ES"/>
        </w:rPr>
        <w:t xml:space="preserve">Madrid, </w:t>
      </w:r>
      <w:proofErr w:type="spellStart"/>
      <w:r w:rsidRPr="00E26B66">
        <w:rPr>
          <w:rFonts w:eastAsia="Times New Roman" w:cstheme="minorHAnsi"/>
          <w:b/>
          <w:sz w:val="24"/>
          <w:szCs w:val="24"/>
          <w:lang w:eastAsia="es-ES"/>
        </w:rPr>
        <w:t>xx</w:t>
      </w:r>
      <w:proofErr w:type="spellEnd"/>
      <w:r w:rsidRPr="00E26B66">
        <w:rPr>
          <w:rFonts w:eastAsia="Times New Roman" w:cstheme="minorHAnsi"/>
          <w:b/>
          <w:sz w:val="24"/>
          <w:szCs w:val="24"/>
          <w:lang w:eastAsia="es-ES"/>
        </w:rPr>
        <w:t xml:space="preserve"> de </w:t>
      </w:r>
      <w:r w:rsidR="00677AA6">
        <w:rPr>
          <w:rFonts w:eastAsia="Times New Roman" w:cstheme="minorHAnsi"/>
          <w:b/>
          <w:sz w:val="24"/>
          <w:szCs w:val="24"/>
          <w:lang w:eastAsia="es-ES"/>
        </w:rPr>
        <w:t>marzo</w:t>
      </w:r>
      <w:r w:rsidRPr="00E26B66">
        <w:rPr>
          <w:rFonts w:eastAsia="Times New Roman" w:cstheme="minorHAnsi"/>
          <w:b/>
          <w:sz w:val="24"/>
          <w:szCs w:val="24"/>
          <w:lang w:eastAsia="es-ES"/>
        </w:rPr>
        <w:t xml:space="preserve"> de 2026. </w:t>
      </w:r>
      <w:r w:rsidR="006C4654" w:rsidRPr="006C4654">
        <w:rPr>
          <w:rFonts w:eastAsia="Times New Roman" w:cstheme="minorHAnsi"/>
          <w:sz w:val="24"/>
          <w:szCs w:val="24"/>
          <w:lang w:eastAsia="es-ES"/>
        </w:rPr>
        <w:t xml:space="preserve">La Sociedad Española de Columna Vertebral (GEER), junto a otras sociedades científicas, ha impulsado el primer consenso nacional multidisciplinar sobre el manejo de la fractura vertebral osteoporótica aguda (FVO), un documento que establece unos criterios diagnósticos, terapéuticos y de seguimiento adaptados al Sistema Nacional de Salud y que pretende reducir la variabilidad clínica existente en España. </w:t>
      </w:r>
    </w:p>
    <w:p w14:paraId="452656B5" w14:textId="77777777" w:rsidR="006C4654" w:rsidRPr="006C4654" w:rsidRDefault="006C4654" w:rsidP="00C46D31">
      <w:pPr>
        <w:spacing w:after="0" w:line="240" w:lineRule="auto"/>
        <w:jc w:val="both"/>
        <w:rPr>
          <w:rFonts w:eastAsia="Times New Roman" w:cstheme="minorHAnsi"/>
          <w:sz w:val="24"/>
          <w:szCs w:val="24"/>
          <w:lang w:eastAsia="es-ES"/>
        </w:rPr>
      </w:pPr>
    </w:p>
    <w:p w14:paraId="429A1BD6" w14:textId="77777777" w:rsidR="00C46D31" w:rsidRPr="00C46D31" w:rsidRDefault="00C46D31" w:rsidP="00C46D31">
      <w:pPr>
        <w:spacing w:after="0" w:line="240" w:lineRule="auto"/>
        <w:jc w:val="both"/>
        <w:rPr>
          <w:rFonts w:eastAsia="Times New Roman" w:cstheme="minorHAnsi"/>
          <w:sz w:val="24"/>
          <w:szCs w:val="24"/>
          <w:lang w:eastAsia="es-ES"/>
        </w:rPr>
      </w:pPr>
      <w:r w:rsidRPr="00C46D31">
        <w:rPr>
          <w:rFonts w:eastAsia="Times New Roman" w:cstheme="minorHAnsi"/>
          <w:sz w:val="24"/>
          <w:szCs w:val="24"/>
          <w:lang w:eastAsia="es-ES"/>
        </w:rPr>
        <w:t xml:space="preserve">El trabajo, publicado en </w:t>
      </w:r>
      <w:r w:rsidRPr="00C46D31">
        <w:rPr>
          <w:rFonts w:eastAsia="Times New Roman" w:cstheme="minorHAnsi"/>
          <w:i/>
          <w:iCs/>
          <w:sz w:val="24"/>
          <w:szCs w:val="24"/>
          <w:lang w:eastAsia="es-ES"/>
        </w:rPr>
        <w:t xml:space="preserve">Archives </w:t>
      </w:r>
      <w:proofErr w:type="spellStart"/>
      <w:r w:rsidRPr="00C46D31">
        <w:rPr>
          <w:rFonts w:eastAsia="Times New Roman" w:cstheme="minorHAnsi"/>
          <w:i/>
          <w:iCs/>
          <w:sz w:val="24"/>
          <w:szCs w:val="24"/>
          <w:lang w:eastAsia="es-ES"/>
        </w:rPr>
        <w:t>of</w:t>
      </w:r>
      <w:proofErr w:type="spellEnd"/>
      <w:r w:rsidRPr="00C46D31">
        <w:rPr>
          <w:rFonts w:eastAsia="Times New Roman" w:cstheme="minorHAnsi"/>
          <w:i/>
          <w:iCs/>
          <w:sz w:val="24"/>
          <w:szCs w:val="24"/>
          <w:lang w:eastAsia="es-ES"/>
        </w:rPr>
        <w:t xml:space="preserve"> Osteoporosis</w:t>
      </w:r>
      <w:r w:rsidRPr="00C46D31">
        <w:rPr>
          <w:rFonts w:eastAsia="Times New Roman" w:cstheme="minorHAnsi"/>
          <w:sz w:val="24"/>
          <w:szCs w:val="24"/>
          <w:lang w:eastAsia="es-ES"/>
        </w:rPr>
        <w:t xml:space="preserve"> bajo el título: </w:t>
      </w:r>
      <w:r w:rsidRPr="00C46D31">
        <w:rPr>
          <w:rFonts w:eastAsia="Times New Roman" w:cstheme="minorHAnsi"/>
          <w:i/>
          <w:iCs/>
          <w:sz w:val="24"/>
          <w:szCs w:val="24"/>
          <w:lang w:eastAsia="es-ES"/>
        </w:rPr>
        <w:t>“</w:t>
      </w:r>
      <w:proofErr w:type="spellStart"/>
      <w:r w:rsidRPr="00C46D31">
        <w:rPr>
          <w:rFonts w:eastAsia="Times New Roman" w:cstheme="minorHAnsi"/>
          <w:i/>
          <w:iCs/>
          <w:sz w:val="24"/>
          <w:szCs w:val="24"/>
          <w:lang w:eastAsia="es-ES"/>
        </w:rPr>
        <w:t>Multidisciplinary</w:t>
      </w:r>
      <w:proofErr w:type="spellEnd"/>
      <w:r w:rsidRPr="00C46D31">
        <w:rPr>
          <w:rFonts w:eastAsia="Times New Roman" w:cstheme="minorHAnsi"/>
          <w:i/>
          <w:iCs/>
          <w:sz w:val="24"/>
          <w:szCs w:val="24"/>
          <w:lang w:eastAsia="es-ES"/>
        </w:rPr>
        <w:t xml:space="preserve"> </w:t>
      </w:r>
      <w:proofErr w:type="spellStart"/>
      <w:r w:rsidRPr="00C46D31">
        <w:rPr>
          <w:rFonts w:eastAsia="Times New Roman" w:cstheme="minorHAnsi"/>
          <w:i/>
          <w:iCs/>
          <w:sz w:val="24"/>
          <w:szCs w:val="24"/>
          <w:lang w:eastAsia="es-ES"/>
        </w:rPr>
        <w:t>management</w:t>
      </w:r>
      <w:proofErr w:type="spellEnd"/>
      <w:r w:rsidRPr="00C46D31">
        <w:rPr>
          <w:rFonts w:eastAsia="Times New Roman" w:cstheme="minorHAnsi"/>
          <w:i/>
          <w:iCs/>
          <w:sz w:val="24"/>
          <w:szCs w:val="24"/>
          <w:lang w:eastAsia="es-ES"/>
        </w:rPr>
        <w:t xml:space="preserve"> </w:t>
      </w:r>
      <w:proofErr w:type="spellStart"/>
      <w:r w:rsidRPr="00C46D31">
        <w:rPr>
          <w:rFonts w:eastAsia="Times New Roman" w:cstheme="minorHAnsi"/>
          <w:i/>
          <w:iCs/>
          <w:sz w:val="24"/>
          <w:szCs w:val="24"/>
          <w:lang w:eastAsia="es-ES"/>
        </w:rPr>
        <w:t>of</w:t>
      </w:r>
      <w:proofErr w:type="spellEnd"/>
      <w:r w:rsidRPr="00C46D31">
        <w:rPr>
          <w:rFonts w:eastAsia="Times New Roman" w:cstheme="minorHAnsi"/>
          <w:i/>
          <w:iCs/>
          <w:sz w:val="24"/>
          <w:szCs w:val="24"/>
          <w:lang w:eastAsia="es-ES"/>
        </w:rPr>
        <w:t xml:space="preserve"> acute </w:t>
      </w:r>
      <w:proofErr w:type="spellStart"/>
      <w:r w:rsidRPr="00C46D31">
        <w:rPr>
          <w:rFonts w:eastAsia="Times New Roman" w:cstheme="minorHAnsi"/>
          <w:i/>
          <w:iCs/>
          <w:sz w:val="24"/>
          <w:szCs w:val="24"/>
          <w:lang w:eastAsia="es-ES"/>
        </w:rPr>
        <w:t>osteoporotic</w:t>
      </w:r>
      <w:proofErr w:type="spellEnd"/>
      <w:r w:rsidRPr="00C46D31">
        <w:rPr>
          <w:rFonts w:eastAsia="Times New Roman" w:cstheme="minorHAnsi"/>
          <w:i/>
          <w:iCs/>
          <w:sz w:val="24"/>
          <w:szCs w:val="24"/>
          <w:lang w:eastAsia="es-ES"/>
        </w:rPr>
        <w:t xml:space="preserve"> vertebral fracture: </w:t>
      </w:r>
      <w:proofErr w:type="spellStart"/>
      <w:r w:rsidRPr="00C46D31">
        <w:rPr>
          <w:rFonts w:eastAsia="Times New Roman" w:cstheme="minorHAnsi"/>
          <w:i/>
          <w:iCs/>
          <w:sz w:val="24"/>
          <w:szCs w:val="24"/>
          <w:lang w:eastAsia="es-ES"/>
        </w:rPr>
        <w:t>results</w:t>
      </w:r>
      <w:proofErr w:type="spellEnd"/>
      <w:r w:rsidRPr="00C46D31">
        <w:rPr>
          <w:rFonts w:eastAsia="Times New Roman" w:cstheme="minorHAnsi"/>
          <w:i/>
          <w:iCs/>
          <w:sz w:val="24"/>
          <w:szCs w:val="24"/>
          <w:lang w:eastAsia="es-ES"/>
        </w:rPr>
        <w:t xml:space="preserve"> </w:t>
      </w:r>
      <w:proofErr w:type="spellStart"/>
      <w:r w:rsidRPr="00C46D31">
        <w:rPr>
          <w:rFonts w:eastAsia="Times New Roman" w:cstheme="minorHAnsi"/>
          <w:i/>
          <w:iCs/>
          <w:sz w:val="24"/>
          <w:szCs w:val="24"/>
          <w:lang w:eastAsia="es-ES"/>
        </w:rPr>
        <w:t>of</w:t>
      </w:r>
      <w:proofErr w:type="spellEnd"/>
      <w:r w:rsidRPr="00C46D31">
        <w:rPr>
          <w:rFonts w:eastAsia="Times New Roman" w:cstheme="minorHAnsi"/>
          <w:i/>
          <w:iCs/>
          <w:sz w:val="24"/>
          <w:szCs w:val="24"/>
          <w:lang w:eastAsia="es-ES"/>
        </w:rPr>
        <w:t xml:space="preserve"> a </w:t>
      </w:r>
      <w:proofErr w:type="spellStart"/>
      <w:r w:rsidRPr="00C46D31">
        <w:rPr>
          <w:rFonts w:eastAsia="Times New Roman" w:cstheme="minorHAnsi"/>
          <w:i/>
          <w:iCs/>
          <w:sz w:val="24"/>
          <w:szCs w:val="24"/>
          <w:lang w:eastAsia="es-ES"/>
        </w:rPr>
        <w:t>national</w:t>
      </w:r>
      <w:proofErr w:type="spellEnd"/>
      <w:r w:rsidRPr="00C46D31">
        <w:rPr>
          <w:rFonts w:eastAsia="Times New Roman" w:cstheme="minorHAnsi"/>
          <w:i/>
          <w:iCs/>
          <w:sz w:val="24"/>
          <w:szCs w:val="24"/>
          <w:lang w:eastAsia="es-ES"/>
        </w:rPr>
        <w:t xml:space="preserve"> Delphi </w:t>
      </w:r>
      <w:proofErr w:type="spellStart"/>
      <w:r w:rsidRPr="00C46D31">
        <w:rPr>
          <w:rFonts w:eastAsia="Times New Roman" w:cstheme="minorHAnsi"/>
          <w:i/>
          <w:iCs/>
          <w:sz w:val="24"/>
          <w:szCs w:val="24"/>
          <w:lang w:eastAsia="es-ES"/>
        </w:rPr>
        <w:t>consensus</w:t>
      </w:r>
      <w:proofErr w:type="spellEnd"/>
      <w:r w:rsidRPr="00C46D31">
        <w:rPr>
          <w:rFonts w:eastAsia="Times New Roman" w:cstheme="minorHAnsi"/>
          <w:i/>
          <w:iCs/>
          <w:sz w:val="24"/>
          <w:szCs w:val="24"/>
          <w:lang w:eastAsia="es-ES"/>
        </w:rPr>
        <w:t>”</w:t>
      </w:r>
      <w:r w:rsidRPr="00C46D31">
        <w:rPr>
          <w:rFonts w:eastAsia="Times New Roman" w:cstheme="minorHAnsi"/>
          <w:sz w:val="24"/>
          <w:szCs w:val="24"/>
          <w:lang w:eastAsia="es-ES"/>
        </w:rPr>
        <w:t>, recoge el resultado de un proceso Delphi en dos rondas en el que han participado 64 expertos de siete sociedades científicas nacionales: la Sociedad Española de Rehabilitación y Medicina Física (SERMEF), la Sociedad Española de Geriatría y Gerontología (SEGG), la Sociedad Española de Traumatología y Ortopedia (SECOT), la Sociedad Española de Endocrinología y Nutrición (SEEN),  la Sociedad Española de Investigación Ósea (SEIOMM) y  la Sociedad Española de Radiología (SERAM).</w:t>
      </w:r>
    </w:p>
    <w:p w14:paraId="2C8C78FE" w14:textId="77777777" w:rsidR="006C4654" w:rsidRPr="006C4654" w:rsidRDefault="006C4654" w:rsidP="00C46D31">
      <w:pPr>
        <w:spacing w:after="0" w:line="240" w:lineRule="auto"/>
        <w:jc w:val="both"/>
        <w:rPr>
          <w:rFonts w:eastAsia="Times New Roman" w:cstheme="minorHAnsi"/>
          <w:sz w:val="24"/>
          <w:szCs w:val="24"/>
          <w:lang w:eastAsia="es-ES"/>
        </w:rPr>
      </w:pPr>
    </w:p>
    <w:p w14:paraId="240A74A1" w14:textId="77777777" w:rsidR="006C4654" w:rsidRPr="006C4654" w:rsidRDefault="006C4654" w:rsidP="00C46D31">
      <w:pPr>
        <w:spacing w:after="0" w:line="240" w:lineRule="auto"/>
        <w:jc w:val="both"/>
        <w:rPr>
          <w:rFonts w:eastAsia="Times New Roman" w:cstheme="minorHAnsi"/>
          <w:sz w:val="24"/>
          <w:szCs w:val="24"/>
          <w:lang w:eastAsia="es-ES"/>
        </w:rPr>
      </w:pPr>
      <w:r w:rsidRPr="006C4654">
        <w:rPr>
          <w:rFonts w:eastAsia="Times New Roman" w:cstheme="minorHAnsi"/>
          <w:sz w:val="24"/>
          <w:szCs w:val="24"/>
          <w:lang w:eastAsia="es-ES"/>
        </w:rPr>
        <w:t>El documento parte de una realidad asistencial reconocida por los propios autores: en España no existía hasta ahora una guía nacional unificada para el manejo de la fase aguda de estas fracturas, lo que favorecía enfoques heterogéneos entre centros y especialidades. El consenso nace, por tanto, con vocación de ordenar, armonizar y mejorar la calidad asistencial en un problema sanitario de gran impacto.</w:t>
      </w:r>
    </w:p>
    <w:p w14:paraId="034B26EA" w14:textId="4028FB7C" w:rsidR="00E26B66" w:rsidRPr="00E26B66" w:rsidRDefault="00E26B66" w:rsidP="00C46D31">
      <w:pPr>
        <w:spacing w:after="0" w:line="240" w:lineRule="auto"/>
        <w:jc w:val="both"/>
        <w:rPr>
          <w:rFonts w:eastAsia="Times New Roman" w:cstheme="minorHAnsi"/>
          <w:sz w:val="24"/>
          <w:szCs w:val="24"/>
          <w:lang w:eastAsia="es-ES"/>
        </w:rPr>
      </w:pPr>
    </w:p>
    <w:p w14:paraId="36F65A62" w14:textId="1FBEF680" w:rsidR="000E5A5D" w:rsidRPr="006C4654" w:rsidRDefault="00E26B66" w:rsidP="00C46D31">
      <w:pPr>
        <w:spacing w:after="0" w:line="240" w:lineRule="auto"/>
        <w:jc w:val="both"/>
        <w:outlineLvl w:val="1"/>
        <w:rPr>
          <w:rFonts w:eastAsia="Times New Roman" w:cstheme="minorHAnsi"/>
          <w:b/>
          <w:bCs/>
          <w:sz w:val="24"/>
          <w:szCs w:val="24"/>
          <w:lang w:eastAsia="es-ES"/>
        </w:rPr>
      </w:pPr>
      <w:r w:rsidRPr="00E26B66">
        <w:rPr>
          <w:rFonts w:eastAsia="Times New Roman" w:cstheme="minorHAnsi"/>
          <w:b/>
          <w:bCs/>
          <w:sz w:val="24"/>
          <w:szCs w:val="24"/>
          <w:lang w:eastAsia="es-ES"/>
        </w:rPr>
        <w:t>La dimensión del problema en España</w:t>
      </w:r>
    </w:p>
    <w:p w14:paraId="5C5ECF85" w14:textId="77777777" w:rsidR="006C4654" w:rsidRPr="006C4654" w:rsidRDefault="006C4654" w:rsidP="00C46D31">
      <w:pPr>
        <w:spacing w:after="0" w:line="240" w:lineRule="auto"/>
        <w:jc w:val="both"/>
        <w:rPr>
          <w:rFonts w:eastAsia="Times New Roman" w:cstheme="minorHAnsi"/>
          <w:sz w:val="24"/>
          <w:szCs w:val="24"/>
          <w:lang w:eastAsia="es-ES"/>
        </w:rPr>
      </w:pPr>
      <w:r w:rsidRPr="006C4654">
        <w:rPr>
          <w:rFonts w:eastAsia="Times New Roman" w:cstheme="minorHAnsi"/>
          <w:sz w:val="24"/>
          <w:szCs w:val="24"/>
          <w:lang w:eastAsia="es-ES"/>
        </w:rPr>
        <w:t>La fractura vertebral osteoporótica es la consecuencia clínica de una enfermedad de base: la osteoporosis. Esta patología se caracteriza por la pérdida progresiva de masa ósea y calidad del hueso, que pierde resistencia y puede fracturarse ante traumatismos mínimos o incluso en actividades cotidianas. Son las llamadas fracturas por fragilidad, que no requieren un accidente grave para producirse.</w:t>
      </w:r>
    </w:p>
    <w:p w14:paraId="3C4C0918" w14:textId="77777777" w:rsidR="006C4654" w:rsidRPr="006C4654" w:rsidRDefault="006C4654" w:rsidP="00C46D31">
      <w:pPr>
        <w:spacing w:after="0" w:line="240" w:lineRule="auto"/>
        <w:jc w:val="both"/>
        <w:rPr>
          <w:rFonts w:eastAsia="Times New Roman" w:cstheme="minorHAnsi"/>
          <w:sz w:val="24"/>
          <w:szCs w:val="24"/>
          <w:lang w:eastAsia="es-ES"/>
        </w:rPr>
      </w:pPr>
    </w:p>
    <w:p w14:paraId="4C05A726" w14:textId="09F09C9A" w:rsidR="006C4654" w:rsidRPr="006C4654" w:rsidRDefault="006C4654" w:rsidP="00C46D31">
      <w:pPr>
        <w:spacing w:after="0" w:line="240" w:lineRule="auto"/>
        <w:jc w:val="both"/>
        <w:rPr>
          <w:rFonts w:eastAsia="Times New Roman" w:cstheme="minorHAnsi"/>
          <w:sz w:val="24"/>
          <w:szCs w:val="24"/>
          <w:lang w:eastAsia="es-ES"/>
        </w:rPr>
      </w:pPr>
      <w:r w:rsidRPr="006C4654">
        <w:rPr>
          <w:rFonts w:eastAsia="Times New Roman" w:cstheme="minorHAnsi"/>
          <w:sz w:val="24"/>
          <w:szCs w:val="24"/>
          <w:lang w:eastAsia="es-ES"/>
        </w:rPr>
        <w:t>En España, la osteoporosis afecta a una parte importante de la población adulta mayor. Según estimaciones del Ministerio de Sanidad y de la Sociedad Española de Investigación Ósea y del Metabolismo Mineral (SEIOMM), entre el 22</w:t>
      </w:r>
      <w:r w:rsidR="00C46D31">
        <w:rPr>
          <w:rFonts w:eastAsia="Times New Roman" w:cstheme="minorHAnsi"/>
          <w:sz w:val="24"/>
          <w:szCs w:val="24"/>
          <w:lang w:eastAsia="es-ES"/>
        </w:rPr>
        <w:t xml:space="preserve"> </w:t>
      </w:r>
      <w:r w:rsidRPr="006C4654">
        <w:rPr>
          <w:rFonts w:eastAsia="Times New Roman" w:cstheme="minorHAnsi"/>
          <w:sz w:val="24"/>
          <w:szCs w:val="24"/>
          <w:lang w:eastAsia="es-ES"/>
        </w:rPr>
        <w:t>% y el 25</w:t>
      </w:r>
      <w:r w:rsidR="00C46D31">
        <w:rPr>
          <w:rFonts w:eastAsia="Times New Roman" w:cstheme="minorHAnsi"/>
          <w:sz w:val="24"/>
          <w:szCs w:val="24"/>
          <w:lang w:eastAsia="es-ES"/>
        </w:rPr>
        <w:t xml:space="preserve"> </w:t>
      </w:r>
      <w:r w:rsidRPr="006C4654">
        <w:rPr>
          <w:rFonts w:eastAsia="Times New Roman" w:cstheme="minorHAnsi"/>
          <w:sz w:val="24"/>
          <w:szCs w:val="24"/>
          <w:lang w:eastAsia="es-ES"/>
        </w:rPr>
        <w:t>% de las mujeres mayores de 50 años presenta osteoporosis, proporción que aumenta de forma significativa a partir de los 70 años. Aunque menos frecuente, también afecta a hombres en edades avanzadas.</w:t>
      </w:r>
    </w:p>
    <w:p w14:paraId="0FEA36F2" w14:textId="77777777" w:rsidR="006C4654" w:rsidRPr="006C4654" w:rsidRDefault="006C4654" w:rsidP="00C46D31">
      <w:pPr>
        <w:spacing w:after="0" w:line="240" w:lineRule="auto"/>
        <w:jc w:val="both"/>
        <w:rPr>
          <w:rFonts w:eastAsia="Times New Roman" w:cstheme="minorHAnsi"/>
          <w:sz w:val="24"/>
          <w:szCs w:val="24"/>
          <w:lang w:eastAsia="es-ES"/>
        </w:rPr>
      </w:pPr>
    </w:p>
    <w:p w14:paraId="274AA919" w14:textId="77777777" w:rsidR="006C4654" w:rsidRPr="006C4654" w:rsidRDefault="006C4654" w:rsidP="00C46D31">
      <w:pPr>
        <w:spacing w:after="0" w:line="240" w:lineRule="auto"/>
        <w:jc w:val="both"/>
        <w:rPr>
          <w:rFonts w:eastAsia="Times New Roman" w:cstheme="minorHAnsi"/>
          <w:sz w:val="24"/>
          <w:szCs w:val="24"/>
          <w:lang w:eastAsia="es-ES"/>
        </w:rPr>
      </w:pPr>
      <w:r w:rsidRPr="006C4654">
        <w:rPr>
          <w:rFonts w:eastAsia="Times New Roman" w:cstheme="minorHAnsi"/>
          <w:sz w:val="24"/>
          <w:szCs w:val="24"/>
          <w:lang w:eastAsia="es-ES"/>
        </w:rPr>
        <w:t xml:space="preserve">Las fracturas vertebrales constituyen una de las principales manifestaciones clínicas de esa fragilidad ósea. Muchas no se diagnostican porque pueden confundirse con dolor lumbar mecánico o con cambios degenerativos propios de la edad. El consenso recuerda que aproximadamente solo un tercio son sintomáticas y reciben atención clínica, pese a asociarse a dolor, discapacidad y deterioro funcional. </w:t>
      </w:r>
    </w:p>
    <w:p w14:paraId="7645ECFC" w14:textId="77777777" w:rsidR="006C4654" w:rsidRPr="006C4654" w:rsidRDefault="006C4654" w:rsidP="00C46D31">
      <w:pPr>
        <w:spacing w:after="0" w:line="240" w:lineRule="auto"/>
        <w:jc w:val="both"/>
        <w:rPr>
          <w:rFonts w:eastAsia="Times New Roman" w:cstheme="minorHAnsi"/>
          <w:sz w:val="24"/>
          <w:szCs w:val="24"/>
          <w:lang w:eastAsia="es-ES"/>
        </w:rPr>
      </w:pPr>
    </w:p>
    <w:p w14:paraId="73A175A2" w14:textId="77777777" w:rsidR="006C4654" w:rsidRPr="006C4654" w:rsidRDefault="006C4654" w:rsidP="00C46D31">
      <w:pPr>
        <w:spacing w:after="0" w:line="240" w:lineRule="auto"/>
        <w:jc w:val="both"/>
        <w:rPr>
          <w:rFonts w:eastAsia="Times New Roman" w:cstheme="minorHAnsi"/>
          <w:sz w:val="24"/>
          <w:szCs w:val="24"/>
          <w:lang w:eastAsia="es-ES"/>
        </w:rPr>
      </w:pPr>
      <w:r w:rsidRPr="006C4654">
        <w:rPr>
          <w:rFonts w:eastAsia="Times New Roman" w:cstheme="minorHAnsi"/>
          <w:sz w:val="24"/>
          <w:szCs w:val="24"/>
          <w:lang w:eastAsia="es-ES"/>
        </w:rPr>
        <w:t xml:space="preserve">El progresivo envejecimiento de la población española anticipa un aumento sostenido del número absoluto de personas en riesgo de fracturas por fragilidad. Según datos del Instituto Nacional de Estadística, más del 20% de la población supera los 65 años y el grupo de mayores de 80 es el que más crece en términos relativos. Dado que la osteoporosis y las fracturas asociadas incrementan su frecuencia con la edad, esta evolución demográfica permite prever un incremento de la carga asistencial vinculada a la fragilidad ósea en los próximos años. </w:t>
      </w:r>
    </w:p>
    <w:p w14:paraId="62E1175B" w14:textId="77777777" w:rsidR="006C4654" w:rsidRPr="00E26B66" w:rsidRDefault="006C4654" w:rsidP="00C46D31">
      <w:pPr>
        <w:spacing w:after="0" w:line="240" w:lineRule="auto"/>
        <w:jc w:val="both"/>
        <w:rPr>
          <w:rFonts w:eastAsia="Times New Roman" w:cstheme="minorHAnsi"/>
          <w:sz w:val="24"/>
          <w:szCs w:val="24"/>
          <w:lang w:eastAsia="es-ES"/>
        </w:rPr>
      </w:pPr>
    </w:p>
    <w:p w14:paraId="23F63C0B" w14:textId="77777777" w:rsidR="00E26B66" w:rsidRPr="00E26B66" w:rsidRDefault="00E26B66" w:rsidP="00C46D31">
      <w:pPr>
        <w:spacing w:after="0" w:line="240" w:lineRule="auto"/>
        <w:jc w:val="both"/>
        <w:outlineLvl w:val="1"/>
        <w:rPr>
          <w:rFonts w:eastAsia="Times New Roman" w:cstheme="minorHAnsi"/>
          <w:b/>
          <w:bCs/>
          <w:sz w:val="24"/>
          <w:szCs w:val="24"/>
          <w:lang w:eastAsia="es-ES"/>
        </w:rPr>
      </w:pPr>
      <w:r w:rsidRPr="00E26B66">
        <w:rPr>
          <w:rFonts w:eastAsia="Times New Roman" w:cstheme="minorHAnsi"/>
          <w:b/>
          <w:bCs/>
          <w:sz w:val="24"/>
          <w:szCs w:val="24"/>
          <w:lang w:eastAsia="es-ES"/>
        </w:rPr>
        <w:t>Estandarización diagnóstica: claridad en el circuito asistencial</w:t>
      </w:r>
    </w:p>
    <w:p w14:paraId="386A2EB0" w14:textId="22DDD7F6" w:rsidR="00E26B66" w:rsidRDefault="000E5A5D" w:rsidP="00C46D31">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Un</w:t>
      </w:r>
      <w:r w:rsidR="006C4654">
        <w:rPr>
          <w:rFonts w:eastAsia="Times New Roman" w:cstheme="minorHAnsi"/>
          <w:sz w:val="24"/>
          <w:szCs w:val="24"/>
          <w:lang w:eastAsia="es-ES"/>
        </w:rPr>
        <w:t>a</w:t>
      </w:r>
      <w:r>
        <w:rPr>
          <w:rFonts w:eastAsia="Times New Roman" w:cstheme="minorHAnsi"/>
          <w:sz w:val="24"/>
          <w:szCs w:val="24"/>
          <w:lang w:eastAsia="es-ES"/>
        </w:rPr>
        <w:t xml:space="preserve"> </w:t>
      </w:r>
      <w:r w:rsidR="006C4654" w:rsidRPr="006C4654">
        <w:rPr>
          <w:rFonts w:eastAsia="Times New Roman" w:cstheme="minorHAnsi"/>
          <w:sz w:val="24"/>
          <w:szCs w:val="24"/>
          <w:lang w:eastAsia="es-ES"/>
        </w:rPr>
        <w:t>de las principales contribuciones del consenso es la unificación de criterios diagnósticos en la fase aguda. El panel establece que la radiografía simple dorsal y lumbar debe ser la prueba inicial en los casos sospechosos, reservando la resonancia magnética para situaciones de dolor persistente o dudas sobre la antigüedad de la fractura. El documento refuerza la necesidad de una valoración clínica minuciosa y de un enfoque multidisciplinar que permita diferenciar lesiones recientes de</w:t>
      </w:r>
      <w:r w:rsidR="006C4654">
        <w:rPr>
          <w:rFonts w:eastAsia="Times New Roman" w:cstheme="minorHAnsi"/>
          <w:sz w:val="24"/>
          <w:szCs w:val="24"/>
          <w:lang w:eastAsia="es-ES"/>
        </w:rPr>
        <w:t xml:space="preserve"> </w:t>
      </w:r>
      <w:r w:rsidR="006C4654" w:rsidRPr="006C4654">
        <w:rPr>
          <w:rFonts w:eastAsia="Times New Roman" w:cstheme="minorHAnsi"/>
          <w:sz w:val="24"/>
          <w:szCs w:val="24"/>
          <w:lang w:eastAsia="es-ES"/>
        </w:rPr>
        <w:t>deformidades antiguas y descartar causas secundarias cuando sea necesario.</w:t>
      </w:r>
    </w:p>
    <w:p w14:paraId="4780BB7A" w14:textId="77777777" w:rsidR="00677AA6" w:rsidRPr="00E26B66" w:rsidRDefault="00677AA6" w:rsidP="00C46D31">
      <w:pPr>
        <w:spacing w:after="0" w:line="240" w:lineRule="auto"/>
        <w:jc w:val="both"/>
        <w:rPr>
          <w:rFonts w:eastAsia="Times New Roman" w:cstheme="minorHAnsi"/>
          <w:sz w:val="24"/>
          <w:szCs w:val="24"/>
          <w:lang w:eastAsia="es-ES"/>
        </w:rPr>
      </w:pPr>
    </w:p>
    <w:p w14:paraId="5C8DF4B8" w14:textId="77777777" w:rsidR="000E5A5D" w:rsidRDefault="000E5A5D" w:rsidP="00C46D31">
      <w:pPr>
        <w:spacing w:after="0" w:line="240" w:lineRule="auto"/>
        <w:jc w:val="both"/>
        <w:outlineLvl w:val="1"/>
        <w:rPr>
          <w:rFonts w:eastAsia="Times New Roman" w:cstheme="minorHAnsi"/>
          <w:b/>
          <w:bCs/>
          <w:sz w:val="24"/>
          <w:szCs w:val="24"/>
          <w:lang w:eastAsia="es-ES"/>
        </w:rPr>
      </w:pPr>
    </w:p>
    <w:p w14:paraId="4CF22E6E" w14:textId="77777777" w:rsidR="00E26B66" w:rsidRPr="00E26B66" w:rsidRDefault="00E26B66" w:rsidP="00C46D31">
      <w:pPr>
        <w:spacing w:after="0" w:line="240" w:lineRule="auto"/>
        <w:jc w:val="both"/>
        <w:outlineLvl w:val="1"/>
        <w:rPr>
          <w:rFonts w:eastAsia="Times New Roman" w:cstheme="minorHAnsi"/>
          <w:b/>
          <w:bCs/>
          <w:sz w:val="24"/>
          <w:szCs w:val="24"/>
          <w:lang w:eastAsia="es-ES"/>
        </w:rPr>
      </w:pPr>
      <w:r w:rsidRPr="00E26B66">
        <w:rPr>
          <w:rFonts w:eastAsia="Times New Roman" w:cstheme="minorHAnsi"/>
          <w:b/>
          <w:bCs/>
          <w:sz w:val="24"/>
          <w:szCs w:val="24"/>
          <w:lang w:eastAsia="es-ES"/>
        </w:rPr>
        <w:t>Tratamiento precoz orientado a función y prevención</w:t>
      </w:r>
    </w:p>
    <w:p w14:paraId="01F87D0D" w14:textId="77777777" w:rsidR="00C46D31" w:rsidRDefault="00C46D31" w:rsidP="00C46D31">
      <w:pPr>
        <w:spacing w:after="0" w:line="240" w:lineRule="auto"/>
        <w:jc w:val="both"/>
        <w:rPr>
          <w:rFonts w:eastAsia="Times New Roman" w:cstheme="minorHAnsi"/>
          <w:sz w:val="24"/>
          <w:szCs w:val="24"/>
          <w:lang w:eastAsia="es-ES"/>
        </w:rPr>
      </w:pPr>
      <w:r w:rsidRPr="00C46D31">
        <w:rPr>
          <w:rFonts w:eastAsia="Times New Roman" w:cstheme="minorHAnsi"/>
          <w:sz w:val="24"/>
          <w:szCs w:val="24"/>
          <w:lang w:eastAsia="es-ES"/>
        </w:rPr>
        <w:lastRenderedPageBreak/>
        <w:t>En el ámbito terapéutico, el consenso sitúa el inicio temprano de las medidas asistenciales como elemento clave del pronóstico funcional. El abordaje se orienta al control adecuado del dolor y a la recuperación funcional precoz, evitando inmovilizaciones prolongadas que puedan agravar la fragilidad del paciente de edad avanzada.</w:t>
      </w:r>
    </w:p>
    <w:p w14:paraId="6BCD4C17" w14:textId="77777777" w:rsidR="00677AA6" w:rsidRPr="00C46D31" w:rsidRDefault="00677AA6" w:rsidP="00C46D31">
      <w:pPr>
        <w:spacing w:after="0" w:line="240" w:lineRule="auto"/>
        <w:jc w:val="both"/>
        <w:rPr>
          <w:rFonts w:eastAsia="Times New Roman" w:cstheme="minorHAnsi"/>
          <w:sz w:val="24"/>
          <w:szCs w:val="24"/>
          <w:lang w:eastAsia="es-ES"/>
        </w:rPr>
      </w:pPr>
    </w:p>
    <w:p w14:paraId="34E20A7B" w14:textId="77777777" w:rsidR="00C46D31" w:rsidRPr="00C46D31" w:rsidRDefault="00C46D31" w:rsidP="00C46D31">
      <w:pPr>
        <w:spacing w:after="0" w:line="240" w:lineRule="auto"/>
        <w:jc w:val="both"/>
        <w:rPr>
          <w:rFonts w:eastAsia="Times New Roman" w:cstheme="minorHAnsi"/>
          <w:sz w:val="24"/>
          <w:szCs w:val="24"/>
          <w:lang w:eastAsia="es-ES"/>
        </w:rPr>
      </w:pPr>
      <w:r w:rsidRPr="00C46D31">
        <w:rPr>
          <w:rFonts w:eastAsia="Times New Roman" w:cstheme="minorHAnsi"/>
          <w:sz w:val="24"/>
          <w:szCs w:val="24"/>
          <w:lang w:eastAsia="es-ES"/>
        </w:rPr>
        <w:t>El documento recuerda además que una fractura vertebral constituye en sí misma un diagnóstico clínico de osteoporosis y obliga a activar medidas de tratamiento específico y prevención secundaria desde el inicio. La prioridad no se centra únicamente en el episodio agudo, sino en reducir el riesgo de nuevas fracturas y preservar la autonomía.</w:t>
      </w:r>
    </w:p>
    <w:p w14:paraId="0585A786" w14:textId="77777777" w:rsidR="00E26B66" w:rsidRPr="00E26B66" w:rsidRDefault="00E26B66" w:rsidP="00C46D31">
      <w:pPr>
        <w:spacing w:after="0" w:line="240" w:lineRule="auto"/>
        <w:jc w:val="both"/>
        <w:rPr>
          <w:rFonts w:eastAsia="Times New Roman" w:cstheme="minorHAnsi"/>
          <w:sz w:val="24"/>
          <w:szCs w:val="24"/>
          <w:lang w:eastAsia="es-ES"/>
        </w:rPr>
      </w:pPr>
    </w:p>
    <w:p w14:paraId="73786B0F" w14:textId="77777777" w:rsidR="00E26B66" w:rsidRPr="00E26B66" w:rsidRDefault="00E26B66" w:rsidP="00C46D31">
      <w:pPr>
        <w:spacing w:after="0" w:line="240" w:lineRule="auto"/>
        <w:jc w:val="both"/>
        <w:outlineLvl w:val="1"/>
        <w:rPr>
          <w:rFonts w:eastAsia="Times New Roman" w:cstheme="minorHAnsi"/>
          <w:b/>
          <w:bCs/>
          <w:sz w:val="24"/>
          <w:szCs w:val="24"/>
          <w:lang w:eastAsia="es-ES"/>
        </w:rPr>
      </w:pPr>
      <w:r w:rsidRPr="00E26B66">
        <w:rPr>
          <w:rFonts w:eastAsia="Times New Roman" w:cstheme="minorHAnsi"/>
          <w:b/>
          <w:bCs/>
          <w:sz w:val="24"/>
          <w:szCs w:val="24"/>
          <w:lang w:eastAsia="es-ES"/>
        </w:rPr>
        <w:t>Un predictor de nuevas fracturas y mayor dependencia</w:t>
      </w:r>
    </w:p>
    <w:p w14:paraId="522D5EDC" w14:textId="5FEDE840" w:rsidR="00C46D31" w:rsidRPr="00C46D31" w:rsidRDefault="00C46D31" w:rsidP="00C46D31">
      <w:pPr>
        <w:spacing w:after="0" w:line="240" w:lineRule="auto"/>
        <w:jc w:val="both"/>
        <w:rPr>
          <w:sz w:val="24"/>
          <w:szCs w:val="24"/>
        </w:rPr>
      </w:pPr>
      <w:r w:rsidRPr="00C46D31">
        <w:rPr>
          <w:sz w:val="24"/>
          <w:szCs w:val="24"/>
        </w:rPr>
        <w:t>El consenso destaca</w:t>
      </w:r>
      <w:r w:rsidR="00677AA6">
        <w:rPr>
          <w:sz w:val="24"/>
          <w:szCs w:val="24"/>
        </w:rPr>
        <w:t xml:space="preserve"> igualmente</w:t>
      </w:r>
      <w:r w:rsidRPr="00C46D31">
        <w:rPr>
          <w:sz w:val="24"/>
          <w:szCs w:val="24"/>
        </w:rPr>
        <w:t xml:space="preserve"> que la fractura vertebral suele ser el primer indicio de una fragilidad ósea avanzada. Su presencia es uno de los predictores más sólidos de nuevas fracturas osteoporóticas y puede duplicar el riesgo de fractura de cadera, además de incrementar significativamente la probabilidad de fracturas posteriores en otros territorios óseos.</w:t>
      </w:r>
    </w:p>
    <w:p w14:paraId="319CFF8E" w14:textId="77777777" w:rsidR="00C46D31" w:rsidRPr="00C46D31" w:rsidRDefault="00C46D31" w:rsidP="00C46D31">
      <w:pPr>
        <w:spacing w:after="0" w:line="240" w:lineRule="auto"/>
        <w:jc w:val="both"/>
        <w:rPr>
          <w:sz w:val="24"/>
          <w:szCs w:val="24"/>
        </w:rPr>
      </w:pPr>
    </w:p>
    <w:p w14:paraId="6F04B80F" w14:textId="77777777" w:rsidR="00C46D31" w:rsidRPr="00C46D31" w:rsidRDefault="00C46D31" w:rsidP="00C46D31">
      <w:pPr>
        <w:spacing w:after="0" w:line="240" w:lineRule="auto"/>
        <w:jc w:val="both"/>
        <w:rPr>
          <w:sz w:val="24"/>
          <w:szCs w:val="24"/>
        </w:rPr>
      </w:pPr>
      <w:r w:rsidRPr="00C46D31">
        <w:rPr>
          <w:sz w:val="24"/>
          <w:szCs w:val="24"/>
        </w:rPr>
        <w:t xml:space="preserve">El riesgo de </w:t>
      </w:r>
      <w:proofErr w:type="spellStart"/>
      <w:r w:rsidRPr="00C46D31">
        <w:rPr>
          <w:sz w:val="24"/>
          <w:szCs w:val="24"/>
        </w:rPr>
        <w:t>refractura</w:t>
      </w:r>
      <w:proofErr w:type="spellEnd"/>
      <w:r w:rsidRPr="00C46D31">
        <w:rPr>
          <w:sz w:val="24"/>
          <w:szCs w:val="24"/>
        </w:rPr>
        <w:t xml:space="preserve"> en los dos años siguientes al primer evento se considera elevado, lo que refuerza la necesidad de seguimiento estructurado e individualizado. En este sentido, el documento destaca la importancia de la coordinación entre especialistas hospitalarios y de Atención Primaria para garantizar continuidad asistencial, adherencia terapéutica y reevaluación periódica del riesgo.</w:t>
      </w:r>
    </w:p>
    <w:p w14:paraId="25B44228" w14:textId="77777777" w:rsidR="00E26B66" w:rsidRPr="00E26B66" w:rsidRDefault="00E26B66" w:rsidP="00C46D31">
      <w:pPr>
        <w:spacing w:after="0" w:line="240" w:lineRule="auto"/>
        <w:jc w:val="both"/>
        <w:rPr>
          <w:rFonts w:eastAsia="Times New Roman" w:cstheme="minorHAnsi"/>
          <w:sz w:val="24"/>
          <w:szCs w:val="24"/>
          <w:lang w:eastAsia="es-ES"/>
        </w:rPr>
      </w:pPr>
    </w:p>
    <w:p w14:paraId="0F5AC171" w14:textId="77777777" w:rsidR="00E26B66" w:rsidRPr="00E26B66" w:rsidRDefault="00E26B66" w:rsidP="00C46D31">
      <w:pPr>
        <w:spacing w:after="0" w:line="240" w:lineRule="auto"/>
        <w:jc w:val="both"/>
        <w:outlineLvl w:val="1"/>
        <w:rPr>
          <w:rFonts w:eastAsia="Times New Roman" w:cstheme="minorHAnsi"/>
          <w:b/>
          <w:bCs/>
          <w:sz w:val="24"/>
          <w:szCs w:val="24"/>
          <w:lang w:eastAsia="es-ES"/>
        </w:rPr>
      </w:pPr>
      <w:r w:rsidRPr="00E26B66">
        <w:rPr>
          <w:rFonts w:eastAsia="Times New Roman" w:cstheme="minorHAnsi"/>
          <w:b/>
          <w:bCs/>
          <w:sz w:val="24"/>
          <w:szCs w:val="24"/>
          <w:lang w:eastAsia="es-ES"/>
        </w:rPr>
        <w:t>Un marco clínico común para una realidad creciente</w:t>
      </w:r>
    </w:p>
    <w:p w14:paraId="1F079F11" w14:textId="77777777" w:rsidR="00C46D31" w:rsidRPr="00C46D31" w:rsidRDefault="00C46D31" w:rsidP="00C46D31">
      <w:pPr>
        <w:spacing w:after="0" w:line="240" w:lineRule="auto"/>
        <w:jc w:val="both"/>
        <w:rPr>
          <w:rFonts w:eastAsia="Times New Roman" w:cstheme="minorHAnsi"/>
          <w:sz w:val="24"/>
          <w:szCs w:val="24"/>
          <w:lang w:eastAsia="es-ES"/>
        </w:rPr>
      </w:pPr>
      <w:r w:rsidRPr="00C46D31">
        <w:rPr>
          <w:rFonts w:eastAsia="Times New Roman" w:cstheme="minorHAnsi"/>
          <w:sz w:val="24"/>
          <w:szCs w:val="24"/>
          <w:lang w:eastAsia="es-ES"/>
        </w:rPr>
        <w:t>La principal novedad del consenso promovido por el GEER reside en ofrecer, por primera vez en España, un marco clínico unificado centrado específicamente en la fase aguda de la fractura vertebral osteoporótica y adaptado al funcionamiento real del sistema sanitario español.</w:t>
      </w:r>
    </w:p>
    <w:p w14:paraId="026E067A" w14:textId="77777777" w:rsidR="00C46D31" w:rsidRPr="00C46D31" w:rsidRDefault="00C46D31" w:rsidP="00C46D31">
      <w:pPr>
        <w:spacing w:after="0" w:line="240" w:lineRule="auto"/>
        <w:jc w:val="both"/>
        <w:rPr>
          <w:rFonts w:eastAsia="Times New Roman" w:cstheme="minorHAnsi"/>
          <w:sz w:val="24"/>
          <w:szCs w:val="24"/>
          <w:lang w:eastAsia="es-ES"/>
        </w:rPr>
      </w:pPr>
    </w:p>
    <w:p w14:paraId="3D8025DD" w14:textId="51FB2BBE" w:rsidR="007351E8" w:rsidRPr="00E26B66" w:rsidRDefault="00C46D31" w:rsidP="00C46D31">
      <w:pPr>
        <w:spacing w:after="0" w:line="240" w:lineRule="auto"/>
        <w:jc w:val="both"/>
        <w:rPr>
          <w:rFonts w:cstheme="minorHAnsi"/>
          <w:sz w:val="24"/>
          <w:szCs w:val="24"/>
        </w:rPr>
      </w:pPr>
      <w:r w:rsidRPr="00C46D31">
        <w:rPr>
          <w:rFonts w:eastAsia="Times New Roman" w:cstheme="minorHAnsi"/>
          <w:sz w:val="24"/>
          <w:szCs w:val="24"/>
          <w:lang w:eastAsia="es-ES"/>
        </w:rPr>
        <w:t>Su objetivo es reducir la variabilidad asistencial, mejorar la recuperación funcional y reforzar la prevención secundaria en un país donde el envejecimiento poblacional convierte la fragilidad ósea en un desafío estructural de salud pública. En un escenario demográfico que seguirá tensionando los recursos sanitarios, la estandarización de criterios clínicos se plantea como una herramienta para mejorar resultados y optimizar la atención.</w:t>
      </w:r>
    </w:p>
    <w:sectPr w:rsidR="007351E8" w:rsidRPr="00E26B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CDBC" w14:textId="77777777" w:rsidR="0053271D" w:rsidRDefault="0053271D" w:rsidP="009344EC">
      <w:pPr>
        <w:spacing w:after="0" w:line="240" w:lineRule="auto"/>
      </w:pPr>
      <w:r>
        <w:separator/>
      </w:r>
    </w:p>
  </w:endnote>
  <w:endnote w:type="continuationSeparator" w:id="0">
    <w:p w14:paraId="022078B6" w14:textId="77777777" w:rsidR="0053271D" w:rsidRDefault="0053271D" w:rsidP="0093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6390" w14:textId="77777777" w:rsidR="0053271D" w:rsidRDefault="0053271D" w:rsidP="009344EC">
      <w:pPr>
        <w:spacing w:after="0" w:line="240" w:lineRule="auto"/>
      </w:pPr>
      <w:r>
        <w:separator/>
      </w:r>
    </w:p>
  </w:footnote>
  <w:footnote w:type="continuationSeparator" w:id="0">
    <w:p w14:paraId="22D1EF04" w14:textId="77777777" w:rsidR="0053271D" w:rsidRDefault="0053271D" w:rsidP="00934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C6B"/>
    <w:multiLevelType w:val="hybridMultilevel"/>
    <w:tmpl w:val="31BEB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9428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66"/>
    <w:rsid w:val="0006153F"/>
    <w:rsid w:val="000E5A5D"/>
    <w:rsid w:val="00133027"/>
    <w:rsid w:val="004E4F0F"/>
    <w:rsid w:val="005304C6"/>
    <w:rsid w:val="0053271D"/>
    <w:rsid w:val="00677AA6"/>
    <w:rsid w:val="006C4654"/>
    <w:rsid w:val="007351E8"/>
    <w:rsid w:val="00926328"/>
    <w:rsid w:val="009344EC"/>
    <w:rsid w:val="0094298E"/>
    <w:rsid w:val="009E7281"/>
    <w:rsid w:val="00C46D31"/>
    <w:rsid w:val="00C97874"/>
    <w:rsid w:val="00DE3080"/>
    <w:rsid w:val="00E26B66"/>
    <w:rsid w:val="00E72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03BBB"/>
  <w15:chartTrackingRefBased/>
  <w15:docId w15:val="{FB2977D9-E2D6-4C38-A395-51B79D2B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26B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26B6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B6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26B66"/>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E26B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26B66"/>
    <w:rPr>
      <w:i/>
      <w:iCs/>
    </w:rPr>
  </w:style>
  <w:style w:type="character" w:customStyle="1" w:styleId="relative">
    <w:name w:val="relative"/>
    <w:basedOn w:val="Fuentedeprrafopredeter"/>
    <w:rsid w:val="00E26B66"/>
  </w:style>
  <w:style w:type="paragraph" w:customStyle="1" w:styleId="not-prose">
    <w:name w:val="not-prose"/>
    <w:basedOn w:val="Normal"/>
    <w:rsid w:val="00E26B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344EC"/>
    <w:pPr>
      <w:ind w:left="720"/>
      <w:contextualSpacing/>
    </w:pPr>
  </w:style>
  <w:style w:type="paragraph" w:styleId="Encabezado">
    <w:name w:val="header"/>
    <w:basedOn w:val="Normal"/>
    <w:link w:val="EncabezadoCar"/>
    <w:uiPriority w:val="99"/>
    <w:unhideWhenUsed/>
    <w:rsid w:val="009344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4EC"/>
  </w:style>
  <w:style w:type="paragraph" w:styleId="Piedepgina">
    <w:name w:val="footer"/>
    <w:basedOn w:val="Normal"/>
    <w:link w:val="PiedepginaCar"/>
    <w:uiPriority w:val="99"/>
    <w:unhideWhenUsed/>
    <w:rsid w:val="009344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1080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dc:description/>
  <cp:lastModifiedBy>Euromedia Grupo 2</cp:lastModifiedBy>
  <cp:revision>8</cp:revision>
  <dcterms:created xsi:type="dcterms:W3CDTF">2026-02-18T16:30:00Z</dcterms:created>
  <dcterms:modified xsi:type="dcterms:W3CDTF">2026-03-10T08:41:00Z</dcterms:modified>
</cp:coreProperties>
</file>