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45DD" w14:textId="77777777" w:rsidR="00002828" w:rsidRPr="00712573" w:rsidRDefault="00002828" w:rsidP="00C37AEC">
      <w:pPr>
        <w:pBdr>
          <w:top w:val="nil"/>
          <w:left w:val="nil"/>
          <w:bottom w:val="nil"/>
          <w:right w:val="nil"/>
          <w:between w:val="nil"/>
        </w:pBdr>
        <w:spacing w:after="0" w:line="240" w:lineRule="auto"/>
        <w:jc w:val="both"/>
        <w:rPr>
          <w:rFonts w:ascii="Titillium Web" w:hAnsi="Titillium Web"/>
          <w:b/>
          <w:color w:val="000000"/>
          <w:sz w:val="32"/>
          <w:szCs w:val="32"/>
          <w:u w:val="single"/>
        </w:rPr>
      </w:pPr>
    </w:p>
    <w:p w14:paraId="1471C6A8" w14:textId="77777777" w:rsidR="00D02C70" w:rsidRPr="00712573" w:rsidRDefault="00D02C70" w:rsidP="00C37AEC">
      <w:pPr>
        <w:pBdr>
          <w:top w:val="nil"/>
          <w:left w:val="nil"/>
          <w:bottom w:val="nil"/>
          <w:right w:val="nil"/>
          <w:between w:val="nil"/>
        </w:pBdr>
        <w:spacing w:after="0" w:line="240" w:lineRule="auto"/>
        <w:jc w:val="center"/>
        <w:rPr>
          <w:rFonts w:ascii="Titillium Web" w:hAnsi="Titillium Web"/>
          <w:b/>
          <w:color w:val="000000"/>
          <w:sz w:val="32"/>
          <w:szCs w:val="32"/>
          <w:u w:val="single"/>
        </w:rPr>
      </w:pPr>
      <w:r w:rsidRPr="00712573">
        <w:rPr>
          <w:rFonts w:ascii="Titillium Web" w:hAnsi="Titillium Web"/>
          <w:b/>
          <w:color w:val="000000"/>
          <w:sz w:val="32"/>
          <w:szCs w:val="32"/>
          <w:u w:val="single"/>
        </w:rPr>
        <w:t>NOTA INFORMATIVA</w:t>
      </w:r>
    </w:p>
    <w:p w14:paraId="6BDEDC84" w14:textId="77777777" w:rsidR="00D02C70" w:rsidRPr="00712573" w:rsidRDefault="00D02C70" w:rsidP="00C37AEC">
      <w:pPr>
        <w:pBdr>
          <w:top w:val="nil"/>
          <w:left w:val="nil"/>
          <w:bottom w:val="nil"/>
          <w:right w:val="nil"/>
          <w:between w:val="nil"/>
        </w:pBdr>
        <w:spacing w:after="0" w:line="240" w:lineRule="auto"/>
        <w:jc w:val="both"/>
        <w:rPr>
          <w:rFonts w:ascii="Titillium Web" w:hAnsi="Titillium Web"/>
          <w:b/>
          <w:color w:val="000000"/>
          <w:sz w:val="36"/>
          <w:szCs w:val="36"/>
          <w:u w:val="single"/>
        </w:rPr>
      </w:pPr>
    </w:p>
    <w:p w14:paraId="5207F73D" w14:textId="7ECF0231" w:rsidR="00712573" w:rsidRPr="00712573" w:rsidRDefault="00712573" w:rsidP="00712573">
      <w:pPr>
        <w:pBdr>
          <w:top w:val="nil"/>
          <w:left w:val="nil"/>
          <w:bottom w:val="nil"/>
          <w:right w:val="nil"/>
          <w:between w:val="nil"/>
        </w:pBdr>
        <w:spacing w:after="0" w:line="240" w:lineRule="auto"/>
        <w:jc w:val="both"/>
        <w:rPr>
          <w:rFonts w:ascii="Titillium Web" w:hAnsi="Titillium Web"/>
          <w:b/>
          <w:bCs/>
          <w:color w:val="000000"/>
          <w:sz w:val="28"/>
          <w:szCs w:val="28"/>
        </w:rPr>
      </w:pPr>
      <w:r w:rsidRPr="00712573">
        <w:rPr>
          <w:rFonts w:ascii="Titillium Web" w:hAnsi="Titillium Web"/>
          <w:b/>
          <w:bCs/>
          <w:color w:val="000000"/>
          <w:sz w:val="28"/>
          <w:szCs w:val="28"/>
        </w:rPr>
        <w:t>SYRSA SE CONSOLIDA COMO EL MAYOR GRUPO COMERCIALIZADOR DE HYUNDAI EN ANDALUCÍA CON LA ADQUISICIÓN DE NUEVOS CONCESIONARIOS EN MÁLAGA</w:t>
      </w:r>
    </w:p>
    <w:p w14:paraId="7EC0F06E" w14:textId="77777777" w:rsidR="00D47FD7" w:rsidRPr="00712573" w:rsidRDefault="00D47FD7" w:rsidP="00C37AEC">
      <w:pPr>
        <w:pBdr>
          <w:top w:val="nil"/>
          <w:left w:val="nil"/>
          <w:bottom w:val="nil"/>
          <w:right w:val="nil"/>
          <w:between w:val="nil"/>
        </w:pBdr>
        <w:spacing w:after="0" w:line="240" w:lineRule="auto"/>
        <w:jc w:val="both"/>
        <w:rPr>
          <w:rFonts w:ascii="Titillium Web" w:hAnsi="Titillium Web"/>
          <w:b/>
          <w:color w:val="000000"/>
          <w:sz w:val="32"/>
          <w:szCs w:val="32"/>
        </w:rPr>
      </w:pPr>
    </w:p>
    <w:p w14:paraId="5E779954" w14:textId="0C1CA0B8" w:rsidR="00712573" w:rsidRPr="00712573" w:rsidRDefault="00712573" w:rsidP="00712573">
      <w:pPr>
        <w:numPr>
          <w:ilvl w:val="0"/>
          <w:numId w:val="4"/>
        </w:numPr>
        <w:pBdr>
          <w:top w:val="nil"/>
          <w:left w:val="nil"/>
          <w:bottom w:val="nil"/>
          <w:right w:val="nil"/>
          <w:between w:val="nil"/>
        </w:pBdr>
        <w:spacing w:after="0" w:line="240" w:lineRule="auto"/>
        <w:jc w:val="both"/>
        <w:rPr>
          <w:rFonts w:ascii="Titillium Web" w:hAnsi="Titillium Web"/>
          <w:b/>
          <w:bCs/>
          <w:color w:val="000000"/>
          <w:sz w:val="28"/>
          <w:szCs w:val="28"/>
        </w:rPr>
      </w:pPr>
      <w:r w:rsidRPr="00712573">
        <w:rPr>
          <w:rFonts w:ascii="Titillium Web" w:hAnsi="Titillium Web"/>
          <w:b/>
          <w:bCs/>
          <w:color w:val="000000"/>
          <w:sz w:val="28"/>
          <w:szCs w:val="28"/>
        </w:rPr>
        <w:t>Las nuevas adquisiciones</w:t>
      </w:r>
      <w:r w:rsidR="00AC2ACB">
        <w:rPr>
          <w:rFonts w:ascii="Titillium Web" w:hAnsi="Titillium Web"/>
          <w:b/>
          <w:bCs/>
          <w:color w:val="000000"/>
          <w:sz w:val="28"/>
          <w:szCs w:val="28"/>
        </w:rPr>
        <w:t xml:space="preserve"> </w:t>
      </w:r>
      <w:r w:rsidR="003B5F89" w:rsidRPr="00712573">
        <w:rPr>
          <w:rFonts w:ascii="Titillium Web" w:hAnsi="Titillium Web"/>
          <w:b/>
          <w:bCs/>
          <w:color w:val="000000"/>
          <w:sz w:val="28"/>
          <w:szCs w:val="28"/>
        </w:rPr>
        <w:t>registraron</w:t>
      </w:r>
      <w:r w:rsidRPr="00712573">
        <w:rPr>
          <w:rFonts w:ascii="Titillium Web" w:hAnsi="Titillium Web"/>
          <w:b/>
          <w:bCs/>
          <w:color w:val="000000"/>
          <w:sz w:val="28"/>
          <w:szCs w:val="28"/>
        </w:rPr>
        <w:t xml:space="preserve"> en 2024 un volumen de ventas superior a los 38 millones de euros, y permitirán a SYRSA </w:t>
      </w:r>
      <w:r w:rsidR="003B5F89" w:rsidRPr="00712573">
        <w:rPr>
          <w:rFonts w:ascii="Titillium Web" w:hAnsi="Titillium Web"/>
          <w:b/>
          <w:bCs/>
          <w:color w:val="000000"/>
          <w:sz w:val="28"/>
          <w:szCs w:val="28"/>
        </w:rPr>
        <w:t xml:space="preserve">alcanzar </w:t>
      </w:r>
      <w:r w:rsidR="00AC2ACB">
        <w:rPr>
          <w:rFonts w:ascii="Titillium Web" w:hAnsi="Titillium Web"/>
          <w:b/>
          <w:bCs/>
          <w:color w:val="000000"/>
          <w:sz w:val="28"/>
          <w:szCs w:val="28"/>
        </w:rPr>
        <w:t>el 26</w:t>
      </w:r>
      <w:r w:rsidRPr="00712573">
        <w:rPr>
          <w:rFonts w:ascii="Titillium Web" w:hAnsi="Titillium Web"/>
          <w:b/>
          <w:bCs/>
          <w:color w:val="000000"/>
          <w:sz w:val="28"/>
          <w:szCs w:val="28"/>
        </w:rPr>
        <w:t>% de cuota de mercado de Hyundai en Andalucía.</w:t>
      </w:r>
    </w:p>
    <w:p w14:paraId="2D420967" w14:textId="6E3BC218" w:rsidR="00712573" w:rsidRPr="00712573" w:rsidRDefault="00712573" w:rsidP="00712573">
      <w:pPr>
        <w:numPr>
          <w:ilvl w:val="0"/>
          <w:numId w:val="4"/>
        </w:numPr>
        <w:pBdr>
          <w:top w:val="nil"/>
          <w:left w:val="nil"/>
          <w:bottom w:val="nil"/>
          <w:right w:val="nil"/>
          <w:between w:val="nil"/>
        </w:pBdr>
        <w:spacing w:after="0" w:line="240" w:lineRule="auto"/>
        <w:jc w:val="both"/>
        <w:rPr>
          <w:rFonts w:ascii="Titillium Web" w:hAnsi="Titillium Web"/>
          <w:b/>
          <w:bCs/>
          <w:color w:val="000000"/>
          <w:sz w:val="28"/>
          <w:szCs w:val="28"/>
        </w:rPr>
      </w:pPr>
      <w:r w:rsidRPr="00712573">
        <w:rPr>
          <w:rFonts w:ascii="Titillium Web" w:hAnsi="Titillium Web"/>
          <w:b/>
          <w:bCs/>
          <w:color w:val="000000"/>
          <w:sz w:val="28"/>
          <w:szCs w:val="28"/>
        </w:rPr>
        <w:t xml:space="preserve">Con los nuevos concesionarios, localizados en Málaga y Marbella como instalaciones principales, y otras secundarias en Torremolinos, Antequera, Vélez-Málaga y Fuengirola, </w:t>
      </w:r>
      <w:r w:rsidR="003B5F89" w:rsidRPr="00712573">
        <w:rPr>
          <w:rFonts w:ascii="Titillium Web" w:hAnsi="Titillium Web"/>
          <w:b/>
          <w:bCs/>
          <w:color w:val="000000"/>
          <w:sz w:val="28"/>
          <w:szCs w:val="28"/>
        </w:rPr>
        <w:t>SYRSA culmina</w:t>
      </w:r>
      <w:r w:rsidRPr="00712573">
        <w:rPr>
          <w:rFonts w:ascii="Titillium Web" w:hAnsi="Titillium Web"/>
          <w:b/>
          <w:bCs/>
          <w:color w:val="000000"/>
          <w:sz w:val="28"/>
          <w:szCs w:val="28"/>
        </w:rPr>
        <w:t xml:space="preserve"> su expansión en las ocho provincias andaluzas.</w:t>
      </w:r>
    </w:p>
    <w:p w14:paraId="0A1DE8E3" w14:textId="596F7EBF" w:rsidR="00B77824" w:rsidRPr="00712573" w:rsidRDefault="00B77824" w:rsidP="00712573">
      <w:pPr>
        <w:pBdr>
          <w:top w:val="nil"/>
          <w:left w:val="nil"/>
          <w:bottom w:val="nil"/>
          <w:right w:val="nil"/>
          <w:between w:val="nil"/>
        </w:pBdr>
        <w:spacing w:after="0" w:line="240" w:lineRule="auto"/>
        <w:jc w:val="both"/>
        <w:rPr>
          <w:rFonts w:ascii="Titillium Web" w:hAnsi="Titillium Web"/>
          <w:b/>
          <w:color w:val="000000"/>
          <w:sz w:val="28"/>
          <w:szCs w:val="28"/>
        </w:rPr>
      </w:pPr>
    </w:p>
    <w:p w14:paraId="35271514" w14:textId="77777777" w:rsidR="00336CFD" w:rsidRPr="00712573" w:rsidRDefault="00336CFD" w:rsidP="00336CFD">
      <w:pPr>
        <w:pBdr>
          <w:top w:val="nil"/>
          <w:left w:val="nil"/>
          <w:bottom w:val="nil"/>
          <w:right w:val="nil"/>
          <w:between w:val="nil"/>
        </w:pBdr>
        <w:spacing w:after="0" w:line="240" w:lineRule="auto"/>
        <w:jc w:val="both"/>
        <w:rPr>
          <w:rFonts w:ascii="Titillium Web" w:eastAsia="Arial" w:hAnsi="Titillium Web"/>
          <w:b/>
          <w:bCs/>
          <w:sz w:val="24"/>
          <w:szCs w:val="24"/>
          <w:lang w:eastAsia="fr-FR"/>
        </w:rPr>
      </w:pPr>
    </w:p>
    <w:p w14:paraId="12853D3B" w14:textId="595B43EB" w:rsidR="00BB5261" w:rsidRPr="00712573" w:rsidRDefault="007342F5" w:rsidP="00BB5261">
      <w:pPr>
        <w:jc w:val="both"/>
        <w:rPr>
          <w:rFonts w:ascii="Titillium Web" w:eastAsia="Arial" w:hAnsi="Titillium Web"/>
          <w:sz w:val="24"/>
          <w:szCs w:val="24"/>
          <w:lang w:eastAsia="fr-FR"/>
        </w:rPr>
      </w:pPr>
      <w:r w:rsidRPr="00712573">
        <w:rPr>
          <w:rFonts w:ascii="Titillium Web" w:eastAsia="Arial" w:hAnsi="Titillium Web"/>
          <w:b/>
          <w:bCs/>
          <w:sz w:val="24"/>
          <w:szCs w:val="24"/>
          <w:lang w:eastAsia="fr-FR"/>
        </w:rPr>
        <w:t xml:space="preserve">Sevilla, </w:t>
      </w:r>
      <w:r w:rsidR="00AC2ACB">
        <w:rPr>
          <w:rFonts w:ascii="Titillium Web" w:eastAsia="Arial" w:hAnsi="Titillium Web"/>
          <w:b/>
          <w:bCs/>
          <w:sz w:val="24"/>
          <w:szCs w:val="24"/>
          <w:lang w:eastAsia="fr-FR"/>
        </w:rPr>
        <w:t>3</w:t>
      </w:r>
      <w:r w:rsidRPr="00712573">
        <w:rPr>
          <w:rFonts w:ascii="Titillium Web" w:eastAsia="Arial" w:hAnsi="Titillium Web"/>
          <w:b/>
          <w:bCs/>
          <w:sz w:val="24"/>
          <w:szCs w:val="24"/>
          <w:lang w:eastAsia="fr-FR"/>
        </w:rPr>
        <w:t xml:space="preserve"> de octubre.</w:t>
      </w:r>
      <w:r w:rsidR="00712573" w:rsidRPr="00712573">
        <w:rPr>
          <w:rFonts w:ascii="Titillium Web" w:hAnsi="Titillium Web"/>
          <w:color w:val="000000"/>
          <w:sz w:val="28"/>
          <w:szCs w:val="28"/>
        </w:rPr>
        <w:t xml:space="preserve"> </w:t>
      </w:r>
      <w:r w:rsidR="00712573" w:rsidRPr="00712573">
        <w:rPr>
          <w:rFonts w:ascii="Titillium Web" w:hAnsi="Titillium Web"/>
          <w:color w:val="000000"/>
          <w:sz w:val="24"/>
          <w:szCs w:val="24"/>
        </w:rPr>
        <w:t>SYRSA se convierte en el principal grupo concesionario de Hyundai en Andalucía con la adquisición de la rama de actividad de los negocios de Hyundai de Grupo Nieto Automoción, lo que supone su implantación definitiva en la provincia de Málaga, hasta ahora la única en la que no estaba presente.</w:t>
      </w:r>
      <w:r w:rsidRPr="00712573">
        <w:rPr>
          <w:rFonts w:ascii="Titillium Web" w:eastAsia="Arial" w:hAnsi="Titillium Web"/>
          <w:lang w:eastAsia="fr-FR"/>
        </w:rPr>
        <w:t xml:space="preserve"> </w:t>
      </w:r>
      <w:r w:rsidRPr="00712573">
        <w:rPr>
          <w:rFonts w:ascii="Titillium Web" w:eastAsia="Arial" w:hAnsi="Titillium Web"/>
          <w:sz w:val="24"/>
          <w:szCs w:val="24"/>
          <w:lang w:eastAsia="fr-FR"/>
        </w:rPr>
        <w:t xml:space="preserve">Concretamente, la operación </w:t>
      </w:r>
      <w:r w:rsidR="00BB5261" w:rsidRPr="00712573">
        <w:rPr>
          <w:rFonts w:ascii="Titillium Web" w:eastAsia="Arial" w:hAnsi="Titillium Web"/>
          <w:sz w:val="24"/>
          <w:szCs w:val="24"/>
          <w:lang w:eastAsia="fr-FR"/>
        </w:rPr>
        <w:t xml:space="preserve">de compra implica la incorporación a SYRSA de nuevos concesionarios de Hyundai en Málaga y Marbella, como instalaciones principales, así como varias </w:t>
      </w:r>
      <w:r w:rsidR="00FB1961" w:rsidRPr="00712573">
        <w:rPr>
          <w:rFonts w:ascii="Titillium Web" w:eastAsia="Arial" w:hAnsi="Titillium Web"/>
          <w:sz w:val="24"/>
          <w:szCs w:val="24"/>
          <w:lang w:eastAsia="fr-FR"/>
        </w:rPr>
        <w:t>instalaciones</w:t>
      </w:r>
      <w:r w:rsidR="00BB5261" w:rsidRPr="00712573">
        <w:rPr>
          <w:rFonts w:ascii="Titillium Web" w:eastAsia="Arial" w:hAnsi="Titillium Web"/>
          <w:sz w:val="24"/>
          <w:szCs w:val="24"/>
          <w:lang w:eastAsia="fr-FR"/>
        </w:rPr>
        <w:t xml:space="preserve"> secundarias localizadas en Torremolinos, Antequera, Vélez-Málaga y Fuengirola, con un volumen de ventas </w:t>
      </w:r>
      <w:r w:rsidR="007714DE" w:rsidRPr="00712573">
        <w:rPr>
          <w:rFonts w:ascii="Titillium Web" w:eastAsia="Arial" w:hAnsi="Titillium Web"/>
          <w:sz w:val="24"/>
          <w:szCs w:val="24"/>
          <w:lang w:eastAsia="fr-FR"/>
        </w:rPr>
        <w:t>que en el ejercicio</w:t>
      </w:r>
      <w:r w:rsidR="00BB5261" w:rsidRPr="00712573">
        <w:rPr>
          <w:rFonts w:ascii="Titillium Web" w:eastAsia="Arial" w:hAnsi="Titillium Web"/>
          <w:sz w:val="24"/>
          <w:szCs w:val="24"/>
          <w:lang w:eastAsia="fr-FR"/>
        </w:rPr>
        <w:t xml:space="preserve"> 2024 </w:t>
      </w:r>
      <w:r w:rsidR="007714DE" w:rsidRPr="00712573">
        <w:rPr>
          <w:rFonts w:ascii="Titillium Web" w:eastAsia="Arial" w:hAnsi="Titillium Web"/>
          <w:sz w:val="24"/>
          <w:szCs w:val="24"/>
          <w:lang w:eastAsia="fr-FR"/>
        </w:rPr>
        <w:t>ascendió</w:t>
      </w:r>
      <w:r w:rsidR="00BB5261" w:rsidRPr="00712573">
        <w:rPr>
          <w:rFonts w:ascii="Titillium Web" w:eastAsia="Arial" w:hAnsi="Titillium Web"/>
          <w:sz w:val="24"/>
          <w:szCs w:val="24"/>
          <w:lang w:eastAsia="fr-FR"/>
        </w:rPr>
        <w:t xml:space="preserve"> 38,4 millones de euros. </w:t>
      </w:r>
    </w:p>
    <w:p w14:paraId="1FDAB53B" w14:textId="267DFC96" w:rsidR="00712573" w:rsidRPr="00712573" w:rsidRDefault="00712573" w:rsidP="00712573">
      <w:pPr>
        <w:pBdr>
          <w:top w:val="nil"/>
          <w:left w:val="nil"/>
          <w:bottom w:val="nil"/>
          <w:right w:val="nil"/>
          <w:between w:val="nil"/>
        </w:pBdr>
        <w:spacing w:after="0" w:line="240" w:lineRule="auto"/>
        <w:jc w:val="both"/>
        <w:rPr>
          <w:rFonts w:ascii="Titillium Web" w:eastAsia="Arial" w:hAnsi="Titillium Web"/>
          <w:sz w:val="24"/>
          <w:szCs w:val="24"/>
          <w:lang w:eastAsia="fr-FR"/>
        </w:rPr>
      </w:pPr>
      <w:r w:rsidRPr="00712573">
        <w:rPr>
          <w:rFonts w:ascii="Titillium Web" w:eastAsia="Arial" w:hAnsi="Titillium Web"/>
          <w:sz w:val="24"/>
          <w:szCs w:val="24"/>
          <w:lang w:eastAsia="fr-FR"/>
        </w:rPr>
        <w:t xml:space="preserve">Las nuevas instalaciones de Hyundai en Málaga se suman a las que SYRSA ya mantiene de la misma marca en la provincia de Huelva, elevando la cuota conjunta de Hyundai del grupo por encima del </w:t>
      </w:r>
      <w:r w:rsidR="00B87A1E">
        <w:rPr>
          <w:rFonts w:ascii="Titillium Web" w:eastAsia="Arial" w:hAnsi="Titillium Web"/>
          <w:sz w:val="24"/>
          <w:szCs w:val="24"/>
          <w:lang w:eastAsia="fr-FR"/>
        </w:rPr>
        <w:t>26</w:t>
      </w:r>
      <w:r w:rsidRPr="00712573">
        <w:rPr>
          <w:rFonts w:ascii="Titillium Web" w:eastAsia="Arial" w:hAnsi="Titillium Web"/>
          <w:sz w:val="24"/>
          <w:szCs w:val="24"/>
          <w:lang w:eastAsia="fr-FR"/>
        </w:rPr>
        <w:t xml:space="preserve">% en Andalucía, lo que convertirá </w:t>
      </w:r>
      <w:r w:rsidR="00B87A1E">
        <w:rPr>
          <w:rFonts w:ascii="Titillium Web" w:eastAsia="Arial" w:hAnsi="Titillium Web"/>
          <w:sz w:val="24"/>
          <w:szCs w:val="24"/>
          <w:lang w:eastAsia="fr-FR"/>
        </w:rPr>
        <w:t>a SYRSA</w:t>
      </w:r>
      <w:r w:rsidRPr="00712573">
        <w:rPr>
          <w:rFonts w:ascii="Titillium Web" w:eastAsia="Arial" w:hAnsi="Titillium Web"/>
          <w:sz w:val="24"/>
          <w:szCs w:val="24"/>
          <w:lang w:eastAsia="fr-FR"/>
        </w:rPr>
        <w:t xml:space="preserve"> en el principal comercializador de Hyundai en la región.</w:t>
      </w:r>
    </w:p>
    <w:p w14:paraId="06CB8A6C" w14:textId="77777777" w:rsidR="00712573" w:rsidRPr="00712573" w:rsidRDefault="00712573" w:rsidP="00712573">
      <w:pPr>
        <w:pBdr>
          <w:top w:val="nil"/>
          <w:left w:val="nil"/>
          <w:bottom w:val="nil"/>
          <w:right w:val="nil"/>
          <w:between w:val="nil"/>
        </w:pBdr>
        <w:spacing w:after="0" w:line="240" w:lineRule="auto"/>
        <w:jc w:val="both"/>
        <w:rPr>
          <w:rFonts w:ascii="Titillium Web" w:eastAsia="Arial" w:hAnsi="Titillium Web"/>
          <w:sz w:val="24"/>
          <w:szCs w:val="24"/>
          <w:lang w:eastAsia="fr-FR"/>
        </w:rPr>
      </w:pPr>
    </w:p>
    <w:p w14:paraId="52590929" w14:textId="6D620229" w:rsidR="00BB5261" w:rsidRDefault="00712573" w:rsidP="00712573">
      <w:pPr>
        <w:pBdr>
          <w:top w:val="nil"/>
          <w:left w:val="nil"/>
          <w:bottom w:val="nil"/>
          <w:right w:val="nil"/>
          <w:between w:val="nil"/>
        </w:pBdr>
        <w:spacing w:after="0" w:line="240" w:lineRule="auto"/>
        <w:jc w:val="both"/>
        <w:rPr>
          <w:rFonts w:ascii="Titillium Web" w:eastAsia="Arial" w:hAnsi="Titillium Web"/>
          <w:sz w:val="24"/>
          <w:szCs w:val="24"/>
          <w:lang w:eastAsia="fr-FR"/>
        </w:rPr>
      </w:pPr>
      <w:r w:rsidRPr="00712573">
        <w:rPr>
          <w:rFonts w:ascii="Titillium Web" w:eastAsia="Arial" w:hAnsi="Titillium Web"/>
          <w:sz w:val="24"/>
          <w:szCs w:val="24"/>
          <w:lang w:eastAsia="fr-FR"/>
        </w:rPr>
        <w:t xml:space="preserve">La operación implica asimismo la integración de más de 30 profesionales procedentes de la unidad adquirida. </w:t>
      </w:r>
      <w:r w:rsidR="00BB5261" w:rsidRPr="00712573">
        <w:rPr>
          <w:rFonts w:ascii="Titillium Web" w:eastAsia="Arial" w:hAnsi="Titillium Web"/>
          <w:sz w:val="24"/>
          <w:szCs w:val="24"/>
          <w:lang w:eastAsia="fr-FR"/>
        </w:rPr>
        <w:t xml:space="preserve">Según Francisco Galnares, “se trata de una adquisición de alto </w:t>
      </w:r>
      <w:r w:rsidR="00BB5261" w:rsidRPr="00712573">
        <w:rPr>
          <w:rFonts w:ascii="Titillium Web" w:eastAsia="Arial" w:hAnsi="Titillium Web"/>
          <w:sz w:val="24"/>
          <w:szCs w:val="24"/>
          <w:lang w:eastAsia="fr-FR"/>
        </w:rPr>
        <w:lastRenderedPageBreak/>
        <w:t>valor estratégico, que nos permitirá crecer de forma sensible no solo con una de las marcas más afianzadas de nuestro porfolio, sino también territorialmente, alcanzando presencia en la única de las ocho provincias andaluzas en las que el grupo aún no operaba”.</w:t>
      </w:r>
    </w:p>
    <w:p w14:paraId="7808A5D6" w14:textId="77777777" w:rsidR="00AC2ACB" w:rsidRPr="00712573" w:rsidRDefault="00AC2ACB" w:rsidP="00712573">
      <w:pPr>
        <w:pBdr>
          <w:top w:val="nil"/>
          <w:left w:val="nil"/>
          <w:bottom w:val="nil"/>
          <w:right w:val="nil"/>
          <w:between w:val="nil"/>
        </w:pBdr>
        <w:spacing w:after="0" w:line="240" w:lineRule="auto"/>
        <w:jc w:val="both"/>
        <w:rPr>
          <w:rFonts w:ascii="Titillium Web" w:eastAsia="Arial" w:hAnsi="Titillium Web"/>
          <w:sz w:val="24"/>
          <w:szCs w:val="24"/>
          <w:lang w:eastAsia="fr-FR"/>
        </w:rPr>
      </w:pPr>
    </w:p>
    <w:p w14:paraId="284401DC" w14:textId="4C3DB1A8" w:rsidR="007714DE" w:rsidRPr="00712573" w:rsidRDefault="00BB5261" w:rsidP="00B77824">
      <w:pPr>
        <w:jc w:val="both"/>
        <w:rPr>
          <w:rFonts w:ascii="Titillium Web" w:eastAsia="Arial" w:hAnsi="Titillium Web"/>
          <w:sz w:val="24"/>
          <w:szCs w:val="24"/>
          <w:lang w:eastAsia="fr-FR"/>
        </w:rPr>
      </w:pPr>
      <w:r w:rsidRPr="00712573">
        <w:rPr>
          <w:rFonts w:ascii="Titillium Web" w:eastAsia="Arial" w:hAnsi="Titillium Web"/>
          <w:sz w:val="24"/>
          <w:szCs w:val="24"/>
          <w:lang w:eastAsia="fr-FR"/>
        </w:rPr>
        <w:t xml:space="preserve">El concesionario de Hyundai en Huelva, Hyundai SYRLUZ, </w:t>
      </w:r>
      <w:r w:rsidR="005B2737" w:rsidRPr="00712573">
        <w:rPr>
          <w:rFonts w:ascii="Titillium Web" w:eastAsia="Arial" w:hAnsi="Titillium Web"/>
          <w:sz w:val="24"/>
          <w:szCs w:val="24"/>
          <w:lang w:eastAsia="fr-FR"/>
        </w:rPr>
        <w:t>alcanzó en 2024 una facturación superior a los 13 millones de euros</w:t>
      </w:r>
      <w:r w:rsidR="00712573" w:rsidRPr="00712573">
        <w:rPr>
          <w:rFonts w:ascii="Titillium Web" w:eastAsia="Arial" w:hAnsi="Titillium Web"/>
          <w:sz w:val="24"/>
          <w:szCs w:val="24"/>
          <w:lang w:eastAsia="fr-FR"/>
        </w:rPr>
        <w:t xml:space="preserve"> y </w:t>
      </w:r>
      <w:r w:rsidR="005B2737" w:rsidRPr="00712573">
        <w:rPr>
          <w:rFonts w:ascii="Titillium Web" w:eastAsia="Arial" w:hAnsi="Titillium Web"/>
          <w:sz w:val="24"/>
          <w:szCs w:val="24"/>
          <w:lang w:eastAsia="fr-FR"/>
        </w:rPr>
        <w:t xml:space="preserve">ha </w:t>
      </w:r>
      <w:r w:rsidR="00712573" w:rsidRPr="00712573">
        <w:rPr>
          <w:rFonts w:ascii="Titillium Web" w:eastAsia="Arial" w:hAnsi="Titillium Web"/>
          <w:sz w:val="24"/>
          <w:szCs w:val="24"/>
          <w:lang w:eastAsia="fr-FR"/>
        </w:rPr>
        <w:t>recibido</w:t>
      </w:r>
      <w:r w:rsidR="005B2737" w:rsidRPr="00712573">
        <w:rPr>
          <w:rFonts w:ascii="Titillium Web" w:eastAsia="Arial" w:hAnsi="Titillium Web"/>
          <w:sz w:val="24"/>
          <w:szCs w:val="24"/>
          <w:lang w:eastAsia="fr-FR"/>
        </w:rPr>
        <w:t xml:space="preserve"> en los últimos años importantes reconocimientos de la marca surcoreana, especialmente a sus servicios de posventa, como el Volante Hyundai al mejor concesionario de España en gestión de Marketing (2022), el Premio Hyundai a la mejor gestión global en el área de recambios (2022), o el Premio Hyundai Pro Philosophy a su servicio de posventa y taller (2023 y 2024). </w:t>
      </w:r>
    </w:p>
    <w:p w14:paraId="153F6406" w14:textId="3E1E721C" w:rsidR="00B77824" w:rsidRPr="00D64D01" w:rsidRDefault="00B77824" w:rsidP="00B77824">
      <w:pPr>
        <w:jc w:val="both"/>
        <w:rPr>
          <w:rFonts w:ascii="Titillium Web" w:eastAsia="Arial" w:hAnsi="Titillium Web"/>
          <w:b/>
          <w:bCs/>
          <w:sz w:val="24"/>
          <w:szCs w:val="24"/>
          <w:lang w:eastAsia="fr-FR"/>
        </w:rPr>
      </w:pPr>
      <w:r w:rsidRPr="00D64D01">
        <w:rPr>
          <w:rFonts w:ascii="Titillium Web" w:eastAsia="Arial" w:hAnsi="Titillium Web"/>
          <w:b/>
          <w:bCs/>
          <w:sz w:val="24"/>
          <w:szCs w:val="24"/>
          <w:lang w:eastAsia="fr-FR"/>
        </w:rPr>
        <w:t>Sobre Grupo Nieto Automoción</w:t>
      </w:r>
    </w:p>
    <w:p w14:paraId="6CB7016B" w14:textId="77777777" w:rsidR="00D64D01" w:rsidRPr="00D64D01" w:rsidRDefault="00D64D01" w:rsidP="00D64D01">
      <w:pPr>
        <w:jc w:val="both"/>
        <w:rPr>
          <w:rFonts w:ascii="Titillium Web" w:eastAsia="Arial" w:hAnsi="Titillium Web"/>
          <w:sz w:val="24"/>
          <w:szCs w:val="24"/>
          <w:lang w:eastAsia="fr-FR"/>
        </w:rPr>
      </w:pPr>
      <w:r w:rsidRPr="00D64D01">
        <w:rPr>
          <w:rFonts w:ascii="Titillium Web" w:eastAsia="Arial" w:hAnsi="Titillium Web"/>
          <w:sz w:val="24"/>
          <w:szCs w:val="24"/>
          <w:lang w:eastAsia="fr-FR"/>
        </w:rPr>
        <w:t xml:space="preserve">Grupo Nieto Automoción es una empresa que cuenta con más de 75 años en el ámbito de la movilidad, con sede en la provincia de Málaga, y que se ha consolidado como uno de los referentes del sector. Actualmente, la compañía es concesionaria oficial de marcas de gran proyección como MG, Ebro, Omoda, Jaecoo y EVO, que se suman a un portafolio de marcas reconocidas como Fiat, Alfa Romeo, Abarth, </w:t>
      </w:r>
      <w:proofErr w:type="gramStart"/>
      <w:r w:rsidRPr="00D64D01">
        <w:rPr>
          <w:rFonts w:ascii="Titillium Web" w:eastAsia="Arial" w:hAnsi="Titillium Web"/>
          <w:sz w:val="24"/>
          <w:szCs w:val="24"/>
          <w:lang w:eastAsia="fr-FR"/>
        </w:rPr>
        <w:t>Jeep</w:t>
      </w:r>
      <w:proofErr w:type="gramEnd"/>
      <w:r w:rsidRPr="00D64D01">
        <w:rPr>
          <w:rFonts w:ascii="Titillium Web" w:eastAsia="Arial" w:hAnsi="Titillium Web"/>
          <w:sz w:val="24"/>
          <w:szCs w:val="24"/>
          <w:lang w:eastAsia="fr-FR"/>
        </w:rPr>
        <w:t xml:space="preserve">, Piaggio, Kymco, Vespa y otras firmas de primer nivel. En línea con su estrategia de crecimiento, la empresa anunciará próximamente la incorporación de nuevas marcas de referencia que reforzarán su posición en el sector. Entre sus marcas propias sobresale Onecar.es, especializada en vehículos de ocasión y KM0, posicionada como una de las propuestas más sólidas en el segmento de automóviles seminuevos. En el ámbito de la movilidad flexible, el grupo impulsa Myca, </w:t>
      </w:r>
      <w:proofErr w:type="gramStart"/>
      <w:r w:rsidRPr="00D64D01">
        <w:rPr>
          <w:rFonts w:ascii="Titillium Web" w:eastAsia="Arial" w:hAnsi="Titillium Web"/>
          <w:sz w:val="24"/>
          <w:szCs w:val="24"/>
          <w:lang w:eastAsia="fr-FR"/>
        </w:rPr>
        <w:t>startup malagueña</w:t>
      </w:r>
      <w:proofErr w:type="gramEnd"/>
      <w:r w:rsidRPr="00D64D01">
        <w:rPr>
          <w:rFonts w:ascii="Titillium Web" w:eastAsia="Arial" w:hAnsi="Titillium Web"/>
          <w:sz w:val="24"/>
          <w:szCs w:val="24"/>
          <w:lang w:eastAsia="fr-FR"/>
        </w:rPr>
        <w:t xml:space="preserve"> que ofrece soluciones de renting adaptadas a las nuevas formas de consumo de particulares y empresas, aportando una visión innovadora al sector. Asimismo, Karavan se ha consolidado como un concesionario de referencia en caravanas y autocaravanas, liderando la venta y alquiler de este tipo de vehículos en un mercado en expansión. A ello se suman negocios de venta de recambios, chapa y pintura, financiación, servicios inmobiliarios, asesoría y seguros. Con todo ello da empleo directo a casi 400 personas. </w:t>
      </w:r>
    </w:p>
    <w:p w14:paraId="37FE3913" w14:textId="77777777" w:rsidR="00D64D01" w:rsidRPr="00D64D01" w:rsidRDefault="00D64D01" w:rsidP="007342F5">
      <w:pPr>
        <w:jc w:val="both"/>
        <w:rPr>
          <w:rFonts w:ascii="Titillium Web" w:eastAsia="Arial" w:hAnsi="Titillium Web"/>
          <w:b/>
          <w:bCs/>
          <w:sz w:val="24"/>
          <w:szCs w:val="24"/>
          <w:lang w:eastAsia="fr-FR"/>
        </w:rPr>
      </w:pPr>
    </w:p>
    <w:p w14:paraId="582B1DBE" w14:textId="1DA75896" w:rsidR="00037FC0" w:rsidRPr="00712573" w:rsidRDefault="00B0441A" w:rsidP="007342F5">
      <w:pPr>
        <w:jc w:val="both"/>
        <w:rPr>
          <w:rFonts w:ascii="Titillium Web" w:eastAsia="Arial" w:hAnsi="Titillium Web"/>
          <w:b/>
          <w:bCs/>
          <w:sz w:val="24"/>
          <w:szCs w:val="24"/>
          <w:lang w:eastAsia="fr-FR"/>
        </w:rPr>
      </w:pPr>
      <w:r w:rsidRPr="00712573">
        <w:rPr>
          <w:rFonts w:ascii="Titillium Web" w:eastAsia="Arial" w:hAnsi="Titillium Web"/>
          <w:b/>
          <w:bCs/>
          <w:sz w:val="24"/>
          <w:szCs w:val="24"/>
          <w:lang w:eastAsia="fr-FR"/>
        </w:rPr>
        <w:t>Sobre SYRSA</w:t>
      </w:r>
    </w:p>
    <w:p w14:paraId="606CDC2A" w14:textId="3D5DE632" w:rsidR="00D47FD7" w:rsidRPr="00712573" w:rsidRDefault="00D47FD7" w:rsidP="00037FC0">
      <w:pPr>
        <w:jc w:val="both"/>
        <w:rPr>
          <w:rFonts w:ascii="Titillium Web" w:hAnsi="Titillium Web"/>
          <w:sz w:val="24"/>
          <w:szCs w:val="24"/>
        </w:rPr>
      </w:pPr>
      <w:r w:rsidRPr="00712573">
        <w:rPr>
          <w:rFonts w:ascii="Titillium Web" w:eastAsia="Arial" w:hAnsi="Titillium Web"/>
          <w:sz w:val="24"/>
          <w:szCs w:val="24"/>
        </w:rPr>
        <w:lastRenderedPageBreak/>
        <w:t>SYRSA</w:t>
      </w:r>
      <w:r w:rsidRPr="00712573">
        <w:rPr>
          <w:rFonts w:ascii="Titillium Web" w:hAnsi="Titillium Web"/>
          <w:sz w:val="24"/>
          <w:szCs w:val="24"/>
        </w:rPr>
        <w:t xml:space="preserve"> es el grupo líder en el sector de la automoción en Andalucía, con una trayectoria de más de 60 años</w:t>
      </w:r>
      <w:r w:rsidR="00FB1961" w:rsidRPr="00712573">
        <w:rPr>
          <w:rFonts w:ascii="Titillium Web" w:hAnsi="Titillium Web"/>
          <w:sz w:val="24"/>
          <w:szCs w:val="24"/>
        </w:rPr>
        <w:t xml:space="preserve"> en el sector</w:t>
      </w:r>
      <w:r w:rsidRPr="00712573">
        <w:rPr>
          <w:rFonts w:ascii="Titillium Web" w:hAnsi="Titillium Web"/>
          <w:sz w:val="24"/>
          <w:szCs w:val="24"/>
        </w:rPr>
        <w:t>. Con 73 instalaciones distribuidas por Andalucía, propias y de su red de agentes,</w:t>
      </w:r>
      <w:r w:rsidR="00FB1961" w:rsidRPr="00712573">
        <w:rPr>
          <w:rFonts w:ascii="Titillium Web" w:hAnsi="Titillium Web"/>
          <w:sz w:val="24"/>
          <w:szCs w:val="24"/>
        </w:rPr>
        <w:t xml:space="preserve"> tiene un equipo de profesionales de m</w:t>
      </w:r>
      <w:r w:rsidRPr="00712573">
        <w:rPr>
          <w:rFonts w:ascii="Titillium Web" w:hAnsi="Titillium Web"/>
          <w:sz w:val="24"/>
          <w:szCs w:val="24"/>
        </w:rPr>
        <w:t>ás de 8</w:t>
      </w:r>
      <w:r w:rsidR="00E751FA">
        <w:rPr>
          <w:rFonts w:ascii="Titillium Web" w:hAnsi="Titillium Web"/>
          <w:sz w:val="24"/>
          <w:szCs w:val="24"/>
        </w:rPr>
        <w:t>0</w:t>
      </w:r>
      <w:r w:rsidRPr="00712573">
        <w:rPr>
          <w:rFonts w:ascii="Titillium Web" w:hAnsi="Titillium Web"/>
          <w:sz w:val="24"/>
          <w:szCs w:val="24"/>
        </w:rPr>
        <w:t xml:space="preserve">0 personas. Cuenta con concesiones de las marcas </w:t>
      </w:r>
      <w:r w:rsidRPr="00712573">
        <w:rPr>
          <w:rFonts w:ascii="Titillium Web" w:eastAsia="Arial" w:hAnsi="Titillium Web"/>
          <w:color w:val="000000" w:themeColor="text1"/>
          <w:sz w:val="24"/>
          <w:szCs w:val="24"/>
        </w:rPr>
        <w:t>Renault, Dacia, Alpine, BMW, BMW Motorrad, MINI</w:t>
      </w:r>
      <w:r w:rsidR="00FB1961" w:rsidRPr="00712573">
        <w:rPr>
          <w:rFonts w:ascii="Titillium Web" w:eastAsia="Arial" w:hAnsi="Titillium Web"/>
          <w:color w:val="000000" w:themeColor="text1"/>
          <w:sz w:val="24"/>
          <w:szCs w:val="24"/>
        </w:rPr>
        <w:t>,</w:t>
      </w:r>
      <w:r w:rsidRPr="00712573">
        <w:rPr>
          <w:rFonts w:ascii="Titillium Web" w:eastAsia="Arial" w:hAnsi="Titillium Web"/>
          <w:color w:val="000000" w:themeColor="text1"/>
          <w:sz w:val="24"/>
          <w:szCs w:val="24"/>
        </w:rPr>
        <w:t xml:space="preserve"> Volvo, Hyundai, Mazda, Suzuki, Nissan, Omoda</w:t>
      </w:r>
      <w:r w:rsidR="00B0441A" w:rsidRPr="00712573">
        <w:rPr>
          <w:rFonts w:ascii="Titillium Web" w:eastAsia="Arial" w:hAnsi="Titillium Web"/>
          <w:color w:val="000000" w:themeColor="text1"/>
          <w:sz w:val="24"/>
          <w:szCs w:val="24"/>
        </w:rPr>
        <w:t xml:space="preserve">, </w:t>
      </w:r>
      <w:r w:rsidRPr="00712573">
        <w:rPr>
          <w:rFonts w:ascii="Titillium Web" w:eastAsia="Arial" w:hAnsi="Titillium Web"/>
          <w:color w:val="000000" w:themeColor="text1"/>
          <w:sz w:val="24"/>
          <w:szCs w:val="24"/>
        </w:rPr>
        <w:t>Ja</w:t>
      </w:r>
      <w:r w:rsidR="007A2E17">
        <w:rPr>
          <w:rFonts w:ascii="Titillium Web" w:eastAsia="Arial" w:hAnsi="Titillium Web"/>
          <w:color w:val="000000" w:themeColor="text1"/>
          <w:sz w:val="24"/>
          <w:szCs w:val="24"/>
        </w:rPr>
        <w:t>eco</w:t>
      </w:r>
      <w:r w:rsidRPr="00712573">
        <w:rPr>
          <w:rFonts w:ascii="Titillium Web" w:eastAsia="Arial" w:hAnsi="Titillium Web"/>
          <w:color w:val="000000" w:themeColor="text1"/>
          <w:sz w:val="24"/>
          <w:szCs w:val="24"/>
        </w:rPr>
        <w:t>o</w:t>
      </w:r>
      <w:r w:rsidR="00FB1961" w:rsidRPr="00712573">
        <w:rPr>
          <w:rFonts w:ascii="Titillium Web" w:eastAsia="Arial" w:hAnsi="Titillium Web"/>
          <w:color w:val="000000" w:themeColor="text1"/>
          <w:sz w:val="24"/>
          <w:szCs w:val="24"/>
        </w:rPr>
        <w:t xml:space="preserve">, </w:t>
      </w:r>
      <w:r w:rsidR="00B0441A" w:rsidRPr="00712573">
        <w:rPr>
          <w:rFonts w:ascii="Titillium Web" w:eastAsia="Arial" w:hAnsi="Titillium Web"/>
          <w:color w:val="000000" w:themeColor="text1"/>
          <w:sz w:val="24"/>
          <w:szCs w:val="24"/>
        </w:rPr>
        <w:t>EBRO</w:t>
      </w:r>
      <w:r w:rsidR="00FB1961" w:rsidRPr="00712573">
        <w:rPr>
          <w:rFonts w:ascii="Titillium Web" w:eastAsia="Arial" w:hAnsi="Titillium Web"/>
          <w:color w:val="000000" w:themeColor="text1"/>
          <w:sz w:val="24"/>
          <w:szCs w:val="24"/>
        </w:rPr>
        <w:t xml:space="preserve"> y FOTON</w:t>
      </w:r>
      <w:r w:rsidRPr="00712573">
        <w:rPr>
          <w:rFonts w:ascii="Titillium Web" w:eastAsia="Arial" w:hAnsi="Titillium Web"/>
          <w:color w:val="000000" w:themeColor="text1"/>
          <w:sz w:val="24"/>
          <w:szCs w:val="24"/>
        </w:rPr>
        <w:t>,</w:t>
      </w:r>
      <w:r w:rsidRPr="00712573">
        <w:rPr>
          <w:rFonts w:ascii="Titillium Web" w:hAnsi="Titillium Web"/>
          <w:sz w:val="24"/>
          <w:szCs w:val="24"/>
        </w:rPr>
        <w:t xml:space="preserve"> y también es taller oficial de L</w:t>
      </w:r>
      <w:r w:rsidR="007A2E17">
        <w:rPr>
          <w:rFonts w:ascii="Titillium Web" w:hAnsi="Titillium Web"/>
          <w:sz w:val="24"/>
          <w:szCs w:val="24"/>
        </w:rPr>
        <w:t>y</w:t>
      </w:r>
      <w:r w:rsidRPr="00712573">
        <w:rPr>
          <w:rFonts w:ascii="Titillium Web" w:hAnsi="Titillium Web"/>
          <w:sz w:val="24"/>
          <w:szCs w:val="24"/>
        </w:rPr>
        <w:t xml:space="preserve">nk&amp;Co, INEOS y Polestar. Junto a la empresa propia de vehículos de ocasión multimarca, Driveris, el grupo cuenta asimismo con una empresa especializada en servicios de gestoría (SYRSA Gestoría), con una correduría (SYRSA Seguros), </w:t>
      </w:r>
      <w:r w:rsidR="00FB1961" w:rsidRPr="00712573">
        <w:rPr>
          <w:rFonts w:ascii="Titillium Web" w:hAnsi="Titillium Web"/>
          <w:sz w:val="24"/>
          <w:szCs w:val="24"/>
        </w:rPr>
        <w:t xml:space="preserve">y con una empresa de </w:t>
      </w:r>
      <w:r w:rsidRPr="00712573">
        <w:rPr>
          <w:rFonts w:ascii="Titillium Web" w:eastAsia="Arial" w:hAnsi="Titillium Web"/>
          <w:color w:val="000000" w:themeColor="text1"/>
          <w:sz w:val="24"/>
          <w:szCs w:val="24"/>
          <w:lang w:eastAsia="fr-FR"/>
        </w:rPr>
        <w:t>tratamiento de vehículos y economía circular, gracias a SYRSA CAT,</w:t>
      </w:r>
      <w:r w:rsidR="00E751FA">
        <w:rPr>
          <w:rFonts w:ascii="Titillium Web" w:eastAsia="Arial" w:hAnsi="Titillium Web"/>
          <w:color w:val="000000" w:themeColor="text1"/>
          <w:sz w:val="24"/>
          <w:szCs w:val="24"/>
          <w:lang w:eastAsia="fr-FR"/>
        </w:rPr>
        <w:t xml:space="preserve"> </w:t>
      </w:r>
      <w:r w:rsidRPr="00712573">
        <w:rPr>
          <w:rFonts w:ascii="Titillium Web" w:eastAsia="Arial" w:hAnsi="Titillium Web"/>
          <w:color w:val="000000" w:themeColor="text1"/>
          <w:sz w:val="24"/>
          <w:szCs w:val="24"/>
          <w:lang w:eastAsia="fr-FR"/>
        </w:rPr>
        <w:t xml:space="preserve">un Centro Autorizado de Vehículos </w:t>
      </w:r>
      <w:r w:rsidR="00273C75" w:rsidRPr="00712573">
        <w:rPr>
          <w:rFonts w:ascii="Titillium Web" w:eastAsia="Arial" w:hAnsi="Titillium Web"/>
          <w:color w:val="000000" w:themeColor="text1"/>
          <w:sz w:val="24"/>
          <w:szCs w:val="24"/>
          <w:lang w:eastAsia="fr-FR"/>
        </w:rPr>
        <w:t xml:space="preserve">(desguace, reciclado y venta de piezas) </w:t>
      </w:r>
      <w:r w:rsidRPr="00712573">
        <w:rPr>
          <w:rFonts w:ascii="Titillium Web" w:eastAsia="Arial" w:hAnsi="Titillium Web"/>
          <w:color w:val="000000" w:themeColor="text1"/>
          <w:sz w:val="24"/>
          <w:szCs w:val="24"/>
          <w:lang w:eastAsia="fr-FR"/>
        </w:rPr>
        <w:t xml:space="preserve">localizado en Manzanilla (Huelva), con </w:t>
      </w:r>
      <w:r w:rsidRPr="00712573">
        <w:rPr>
          <w:rFonts w:ascii="Titillium Web" w:hAnsi="Titillium Web"/>
          <w:sz w:val="24"/>
          <w:szCs w:val="24"/>
        </w:rPr>
        <w:t xml:space="preserve">capacidad para gestionar 1.400 vehículos al año. </w:t>
      </w:r>
      <w:r w:rsidR="00B77824" w:rsidRPr="00712573">
        <w:rPr>
          <w:rFonts w:ascii="Titillium Web" w:hAnsi="Titillium Web"/>
          <w:sz w:val="24"/>
          <w:szCs w:val="24"/>
        </w:rPr>
        <w:t xml:space="preserve">En 2024, el grupo alcanzó una facturación de 370 millones de euros. </w:t>
      </w:r>
    </w:p>
    <w:p w14:paraId="5B064DD6" w14:textId="3370A7B2" w:rsidR="00482656" w:rsidRPr="00712573" w:rsidRDefault="00924211" w:rsidP="009A6E00">
      <w:pPr>
        <w:rPr>
          <w:rFonts w:ascii="Titillium Web" w:hAnsi="Titillium Web"/>
          <w:sz w:val="24"/>
          <w:szCs w:val="24"/>
        </w:rPr>
      </w:pPr>
      <w:r w:rsidRPr="00712573">
        <w:rPr>
          <w:rFonts w:ascii="Titillium Web" w:hAnsi="Titillium Web"/>
          <w:sz w:val="24"/>
          <w:szCs w:val="24"/>
        </w:rPr>
        <w:t xml:space="preserve"> </w:t>
      </w:r>
    </w:p>
    <w:sectPr w:rsidR="00482656" w:rsidRPr="00712573">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34BE" w14:textId="77777777" w:rsidR="00B468FD" w:rsidRDefault="00B468FD" w:rsidP="00E617FA">
      <w:pPr>
        <w:spacing w:after="0" w:line="240" w:lineRule="auto"/>
      </w:pPr>
      <w:r>
        <w:separator/>
      </w:r>
    </w:p>
  </w:endnote>
  <w:endnote w:type="continuationSeparator" w:id="0">
    <w:p w14:paraId="7B71FBCB" w14:textId="77777777" w:rsidR="00B468FD" w:rsidRDefault="00B468FD" w:rsidP="00E6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Corps CS)">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5047A" w14:textId="77777777" w:rsidR="00B468FD" w:rsidRDefault="00B468FD" w:rsidP="00E617FA">
      <w:pPr>
        <w:spacing w:after="0" w:line="240" w:lineRule="auto"/>
      </w:pPr>
      <w:r>
        <w:separator/>
      </w:r>
    </w:p>
  </w:footnote>
  <w:footnote w:type="continuationSeparator" w:id="0">
    <w:p w14:paraId="0C95861A" w14:textId="77777777" w:rsidR="00B468FD" w:rsidRDefault="00B468FD" w:rsidP="00E6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1B43" w14:textId="7EA7F26E" w:rsidR="00E617FA" w:rsidRDefault="00E617FA">
    <w:pPr>
      <w:pStyle w:val="Encabezado"/>
    </w:pPr>
    <w:r>
      <w:rPr>
        <w:noProof/>
      </w:rPr>
      <w:drawing>
        <wp:anchor distT="0" distB="0" distL="114300" distR="114300" simplePos="0" relativeHeight="251658240" behindDoc="0" locked="0" layoutInCell="1" allowOverlap="1" wp14:anchorId="5F78029D" wp14:editId="48211206">
          <wp:simplePos x="0" y="0"/>
          <wp:positionH relativeFrom="margin">
            <wp:posOffset>4166906</wp:posOffset>
          </wp:positionH>
          <wp:positionV relativeFrom="margin">
            <wp:posOffset>-1120823</wp:posOffset>
          </wp:positionV>
          <wp:extent cx="1544128" cy="924589"/>
          <wp:effectExtent l="0" t="0" r="0" b="8890"/>
          <wp:wrapSquare wrapText="bothSides"/>
          <wp:docPr id="163032116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21162"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4128" cy="924589"/>
                  </a:xfrm>
                  <a:prstGeom prst="rect">
                    <a:avLst/>
                  </a:prstGeom>
                </pic:spPr>
              </pic:pic>
            </a:graphicData>
          </a:graphic>
        </wp:anchor>
      </w:drawing>
    </w:r>
  </w:p>
  <w:p w14:paraId="781D0BA2" w14:textId="71810BA0" w:rsidR="00E617FA" w:rsidRDefault="00E617FA">
    <w:pPr>
      <w:pStyle w:val="Encabezado"/>
    </w:pPr>
  </w:p>
  <w:p w14:paraId="227E3878" w14:textId="77777777" w:rsidR="00E617FA" w:rsidRDefault="00E617FA">
    <w:pPr>
      <w:pStyle w:val="Encabezado"/>
    </w:pPr>
  </w:p>
  <w:p w14:paraId="1280EE1B" w14:textId="77777777" w:rsidR="00E617FA" w:rsidRDefault="00E617FA">
    <w:pPr>
      <w:pStyle w:val="Encabezado"/>
    </w:pPr>
  </w:p>
  <w:p w14:paraId="3846A2DC" w14:textId="77777777" w:rsidR="00E617FA" w:rsidRDefault="00E61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E16"/>
    <w:multiLevelType w:val="hybridMultilevel"/>
    <w:tmpl w:val="A7423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78316E"/>
    <w:multiLevelType w:val="multilevel"/>
    <w:tmpl w:val="04B4E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75B03"/>
    <w:multiLevelType w:val="hybridMultilevel"/>
    <w:tmpl w:val="E3C80B06"/>
    <w:lvl w:ilvl="0" w:tplc="E422B32A">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846DB8"/>
    <w:multiLevelType w:val="multilevel"/>
    <w:tmpl w:val="14E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2855812">
    <w:abstractNumId w:val="0"/>
  </w:num>
  <w:num w:numId="2" w16cid:durableId="1810131209">
    <w:abstractNumId w:val="2"/>
  </w:num>
  <w:num w:numId="3" w16cid:durableId="2018726190">
    <w:abstractNumId w:val="3"/>
  </w:num>
  <w:num w:numId="4" w16cid:durableId="83541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28"/>
    <w:rsid w:val="00002828"/>
    <w:rsid w:val="00002F77"/>
    <w:rsid w:val="0002219B"/>
    <w:rsid w:val="00034021"/>
    <w:rsid w:val="00034660"/>
    <w:rsid w:val="00037B1E"/>
    <w:rsid w:val="00037FC0"/>
    <w:rsid w:val="0008042D"/>
    <w:rsid w:val="00092C75"/>
    <w:rsid w:val="000C4B94"/>
    <w:rsid w:val="000E2649"/>
    <w:rsid w:val="00103152"/>
    <w:rsid w:val="0011116C"/>
    <w:rsid w:val="00114C14"/>
    <w:rsid w:val="0016676F"/>
    <w:rsid w:val="00191BA8"/>
    <w:rsid w:val="001A1AE5"/>
    <w:rsid w:val="001B7E6A"/>
    <w:rsid w:val="001D6393"/>
    <w:rsid w:val="001E68F8"/>
    <w:rsid w:val="001E6D6A"/>
    <w:rsid w:val="001F4D55"/>
    <w:rsid w:val="00203BD9"/>
    <w:rsid w:val="00220B10"/>
    <w:rsid w:val="002373A5"/>
    <w:rsid w:val="00244774"/>
    <w:rsid w:val="00255DF5"/>
    <w:rsid w:val="00273C75"/>
    <w:rsid w:val="002A1F16"/>
    <w:rsid w:val="002A7F1B"/>
    <w:rsid w:val="002C16C4"/>
    <w:rsid w:val="002D3F44"/>
    <w:rsid w:val="00322479"/>
    <w:rsid w:val="00331CCF"/>
    <w:rsid w:val="00336CFD"/>
    <w:rsid w:val="00364CDE"/>
    <w:rsid w:val="003B5F89"/>
    <w:rsid w:val="003D5AE8"/>
    <w:rsid w:val="003D6177"/>
    <w:rsid w:val="00403E1F"/>
    <w:rsid w:val="004104B5"/>
    <w:rsid w:val="004166FC"/>
    <w:rsid w:val="00421E64"/>
    <w:rsid w:val="00425B7D"/>
    <w:rsid w:val="00426E77"/>
    <w:rsid w:val="0043728F"/>
    <w:rsid w:val="00441388"/>
    <w:rsid w:val="00464558"/>
    <w:rsid w:val="00482656"/>
    <w:rsid w:val="004A6AC8"/>
    <w:rsid w:val="004D6C03"/>
    <w:rsid w:val="004E47E2"/>
    <w:rsid w:val="00505006"/>
    <w:rsid w:val="00505011"/>
    <w:rsid w:val="0051322B"/>
    <w:rsid w:val="00515E9E"/>
    <w:rsid w:val="00516317"/>
    <w:rsid w:val="0054407F"/>
    <w:rsid w:val="005525FB"/>
    <w:rsid w:val="00571B30"/>
    <w:rsid w:val="00581537"/>
    <w:rsid w:val="00596633"/>
    <w:rsid w:val="005A68C1"/>
    <w:rsid w:val="005B2737"/>
    <w:rsid w:val="005E069C"/>
    <w:rsid w:val="005F4C27"/>
    <w:rsid w:val="006130C7"/>
    <w:rsid w:val="00662206"/>
    <w:rsid w:val="006A634F"/>
    <w:rsid w:val="006B25C2"/>
    <w:rsid w:val="006C2C8D"/>
    <w:rsid w:val="006D7954"/>
    <w:rsid w:val="006E1F88"/>
    <w:rsid w:val="006F7897"/>
    <w:rsid w:val="007046B0"/>
    <w:rsid w:val="00712573"/>
    <w:rsid w:val="0071359F"/>
    <w:rsid w:val="00713B45"/>
    <w:rsid w:val="007309F2"/>
    <w:rsid w:val="007342F5"/>
    <w:rsid w:val="00765524"/>
    <w:rsid w:val="007714DE"/>
    <w:rsid w:val="00773F62"/>
    <w:rsid w:val="00792B08"/>
    <w:rsid w:val="00792B2B"/>
    <w:rsid w:val="007A2E17"/>
    <w:rsid w:val="007C4CF9"/>
    <w:rsid w:val="007E009A"/>
    <w:rsid w:val="008111D7"/>
    <w:rsid w:val="00840801"/>
    <w:rsid w:val="00850A48"/>
    <w:rsid w:val="00881E29"/>
    <w:rsid w:val="00885449"/>
    <w:rsid w:val="008859E8"/>
    <w:rsid w:val="008D65DA"/>
    <w:rsid w:val="008E689D"/>
    <w:rsid w:val="008F24BE"/>
    <w:rsid w:val="00917C2B"/>
    <w:rsid w:val="00924211"/>
    <w:rsid w:val="00955624"/>
    <w:rsid w:val="00984831"/>
    <w:rsid w:val="00995D06"/>
    <w:rsid w:val="009A6E00"/>
    <w:rsid w:val="009C0239"/>
    <w:rsid w:val="009C29C0"/>
    <w:rsid w:val="009E5F40"/>
    <w:rsid w:val="00A07F2E"/>
    <w:rsid w:val="00A27B8E"/>
    <w:rsid w:val="00A34CC2"/>
    <w:rsid w:val="00A46673"/>
    <w:rsid w:val="00A65E12"/>
    <w:rsid w:val="00AB5C15"/>
    <w:rsid w:val="00AC2ACB"/>
    <w:rsid w:val="00AE2010"/>
    <w:rsid w:val="00AE52BE"/>
    <w:rsid w:val="00B0441A"/>
    <w:rsid w:val="00B06806"/>
    <w:rsid w:val="00B468FD"/>
    <w:rsid w:val="00B63D6F"/>
    <w:rsid w:val="00B70043"/>
    <w:rsid w:val="00B74C78"/>
    <w:rsid w:val="00B77824"/>
    <w:rsid w:val="00B87A1E"/>
    <w:rsid w:val="00BA243D"/>
    <w:rsid w:val="00BA60B6"/>
    <w:rsid w:val="00BA6614"/>
    <w:rsid w:val="00BB5261"/>
    <w:rsid w:val="00BC6776"/>
    <w:rsid w:val="00C20CAE"/>
    <w:rsid w:val="00C37AEC"/>
    <w:rsid w:val="00C51F72"/>
    <w:rsid w:val="00C526D5"/>
    <w:rsid w:val="00C841E9"/>
    <w:rsid w:val="00CC65B1"/>
    <w:rsid w:val="00CF173C"/>
    <w:rsid w:val="00CF3334"/>
    <w:rsid w:val="00CF4545"/>
    <w:rsid w:val="00D02C70"/>
    <w:rsid w:val="00D060D4"/>
    <w:rsid w:val="00D13121"/>
    <w:rsid w:val="00D1460F"/>
    <w:rsid w:val="00D210D6"/>
    <w:rsid w:val="00D47FD7"/>
    <w:rsid w:val="00D60036"/>
    <w:rsid w:val="00D64D01"/>
    <w:rsid w:val="00DB5AEB"/>
    <w:rsid w:val="00DD131E"/>
    <w:rsid w:val="00E104C1"/>
    <w:rsid w:val="00E166BE"/>
    <w:rsid w:val="00E26879"/>
    <w:rsid w:val="00E5138B"/>
    <w:rsid w:val="00E578CF"/>
    <w:rsid w:val="00E617FA"/>
    <w:rsid w:val="00E7438F"/>
    <w:rsid w:val="00E751FA"/>
    <w:rsid w:val="00E90C7D"/>
    <w:rsid w:val="00E97DE4"/>
    <w:rsid w:val="00EB5454"/>
    <w:rsid w:val="00EB5C06"/>
    <w:rsid w:val="00EC5818"/>
    <w:rsid w:val="00ED2F3D"/>
    <w:rsid w:val="00ED6EFB"/>
    <w:rsid w:val="00EE479A"/>
    <w:rsid w:val="00EE532B"/>
    <w:rsid w:val="00F0051A"/>
    <w:rsid w:val="00F21ED5"/>
    <w:rsid w:val="00F238E8"/>
    <w:rsid w:val="00F735EF"/>
    <w:rsid w:val="00F811CB"/>
    <w:rsid w:val="00FB1961"/>
    <w:rsid w:val="00FB6C26"/>
    <w:rsid w:val="00FC13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E6A11"/>
  <w15:docId w15:val="{33217926-2EB8-4ED4-BF23-CC9A41D6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81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aintitleArial">
    <w:name w:val="Main title_Arial"/>
    <w:qFormat/>
    <w:rsid w:val="00881E29"/>
    <w:pPr>
      <w:spacing w:after="0" w:line="560" w:lineRule="exact"/>
    </w:pPr>
    <w:rPr>
      <w:rFonts w:ascii="Arial" w:hAnsi="Arial" w:cs="Times New Roman (Corps CS)"/>
      <w:caps/>
      <w:color w:val="000000"/>
      <w:sz w:val="52"/>
      <w:szCs w:val="52"/>
      <w:lang w:val="fr-FR" w:eastAsia="en-US"/>
    </w:rPr>
  </w:style>
  <w:style w:type="paragraph" w:customStyle="1" w:styleId="DatelineArial">
    <w:name w:val="Date line_Arial"/>
    <w:qFormat/>
    <w:rsid w:val="00881E29"/>
    <w:pPr>
      <w:spacing w:after="540" w:line="400" w:lineRule="exact"/>
    </w:pPr>
    <w:rPr>
      <w:rFonts w:ascii="Arial" w:hAnsi="Arial" w:cs="Times New Roman"/>
      <w:sz w:val="24"/>
      <w:szCs w:val="24"/>
      <w:lang w:val="fr-FR" w:eastAsia="en-US"/>
    </w:rPr>
  </w:style>
  <w:style w:type="character" w:styleId="Textoennegrita">
    <w:name w:val="Strong"/>
    <w:basedOn w:val="Fuentedeprrafopredeter"/>
    <w:uiPriority w:val="22"/>
    <w:qFormat/>
    <w:rsid w:val="00881E29"/>
    <w:rPr>
      <w:b/>
      <w:bCs/>
    </w:rPr>
  </w:style>
  <w:style w:type="paragraph" w:styleId="Encabezado">
    <w:name w:val="header"/>
    <w:basedOn w:val="Normal"/>
    <w:link w:val="EncabezadoCar"/>
    <w:uiPriority w:val="99"/>
    <w:unhideWhenUsed/>
    <w:rsid w:val="00E617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17FA"/>
  </w:style>
  <w:style w:type="paragraph" w:styleId="Piedepgina">
    <w:name w:val="footer"/>
    <w:basedOn w:val="Normal"/>
    <w:link w:val="PiedepginaCar"/>
    <w:uiPriority w:val="99"/>
    <w:unhideWhenUsed/>
    <w:rsid w:val="00E617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7FA"/>
  </w:style>
  <w:style w:type="character" w:styleId="Refdecomentario">
    <w:name w:val="annotation reference"/>
    <w:basedOn w:val="Fuentedeprrafopredeter"/>
    <w:uiPriority w:val="99"/>
    <w:semiHidden/>
    <w:unhideWhenUsed/>
    <w:rsid w:val="00BA243D"/>
    <w:rPr>
      <w:sz w:val="16"/>
      <w:szCs w:val="16"/>
    </w:rPr>
  </w:style>
  <w:style w:type="paragraph" w:styleId="Textocomentario">
    <w:name w:val="annotation text"/>
    <w:basedOn w:val="Normal"/>
    <w:link w:val="TextocomentarioCar"/>
    <w:uiPriority w:val="99"/>
    <w:unhideWhenUsed/>
    <w:rsid w:val="00BA243D"/>
    <w:pPr>
      <w:spacing w:line="240" w:lineRule="auto"/>
    </w:pPr>
    <w:rPr>
      <w:sz w:val="20"/>
      <w:szCs w:val="20"/>
    </w:rPr>
  </w:style>
  <w:style w:type="character" w:customStyle="1" w:styleId="TextocomentarioCar">
    <w:name w:val="Texto comentario Car"/>
    <w:basedOn w:val="Fuentedeprrafopredeter"/>
    <w:link w:val="Textocomentario"/>
    <w:uiPriority w:val="99"/>
    <w:rsid w:val="00BA243D"/>
    <w:rPr>
      <w:sz w:val="20"/>
      <w:szCs w:val="20"/>
    </w:rPr>
  </w:style>
  <w:style w:type="paragraph" w:styleId="Asuntodelcomentario">
    <w:name w:val="annotation subject"/>
    <w:basedOn w:val="Textocomentario"/>
    <w:next w:val="Textocomentario"/>
    <w:link w:val="AsuntodelcomentarioCar"/>
    <w:uiPriority w:val="99"/>
    <w:semiHidden/>
    <w:unhideWhenUsed/>
    <w:rsid w:val="00BA243D"/>
    <w:rPr>
      <w:b/>
      <w:bCs/>
    </w:rPr>
  </w:style>
  <w:style w:type="character" w:customStyle="1" w:styleId="AsuntodelcomentarioCar">
    <w:name w:val="Asunto del comentario Car"/>
    <w:basedOn w:val="TextocomentarioCar"/>
    <w:link w:val="Asuntodelcomentario"/>
    <w:uiPriority w:val="99"/>
    <w:semiHidden/>
    <w:rsid w:val="00BA243D"/>
    <w:rPr>
      <w:b/>
      <w:bCs/>
      <w:sz w:val="20"/>
      <w:szCs w:val="20"/>
    </w:rPr>
  </w:style>
  <w:style w:type="character" w:styleId="Hipervnculo">
    <w:name w:val="Hyperlink"/>
    <w:basedOn w:val="Fuentedeprrafopredeter"/>
    <w:uiPriority w:val="99"/>
    <w:unhideWhenUsed/>
    <w:rsid w:val="00244774"/>
    <w:rPr>
      <w:color w:val="0000FF" w:themeColor="hyperlink"/>
      <w:u w:val="single"/>
    </w:rPr>
  </w:style>
  <w:style w:type="character" w:styleId="Mencinsinresolver">
    <w:name w:val="Unresolved Mention"/>
    <w:basedOn w:val="Fuentedeprrafopredeter"/>
    <w:uiPriority w:val="99"/>
    <w:semiHidden/>
    <w:unhideWhenUsed/>
    <w:rsid w:val="0024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5144">
      <w:bodyDiv w:val="1"/>
      <w:marLeft w:val="0"/>
      <w:marRight w:val="0"/>
      <w:marTop w:val="0"/>
      <w:marBottom w:val="0"/>
      <w:divBdr>
        <w:top w:val="none" w:sz="0" w:space="0" w:color="auto"/>
        <w:left w:val="none" w:sz="0" w:space="0" w:color="auto"/>
        <w:bottom w:val="none" w:sz="0" w:space="0" w:color="auto"/>
        <w:right w:val="none" w:sz="0" w:space="0" w:color="auto"/>
      </w:divBdr>
    </w:div>
    <w:div w:id="98841844">
      <w:bodyDiv w:val="1"/>
      <w:marLeft w:val="0"/>
      <w:marRight w:val="0"/>
      <w:marTop w:val="0"/>
      <w:marBottom w:val="0"/>
      <w:divBdr>
        <w:top w:val="none" w:sz="0" w:space="0" w:color="auto"/>
        <w:left w:val="none" w:sz="0" w:space="0" w:color="auto"/>
        <w:bottom w:val="none" w:sz="0" w:space="0" w:color="auto"/>
        <w:right w:val="none" w:sz="0" w:space="0" w:color="auto"/>
      </w:divBdr>
      <w:divsChild>
        <w:div w:id="575092573">
          <w:marLeft w:val="0"/>
          <w:marRight w:val="0"/>
          <w:marTop w:val="0"/>
          <w:marBottom w:val="0"/>
          <w:divBdr>
            <w:top w:val="none" w:sz="0" w:space="0" w:color="auto"/>
            <w:left w:val="none" w:sz="0" w:space="0" w:color="auto"/>
            <w:bottom w:val="none" w:sz="0" w:space="0" w:color="auto"/>
            <w:right w:val="none" w:sz="0" w:space="0" w:color="auto"/>
          </w:divBdr>
        </w:div>
      </w:divsChild>
    </w:div>
    <w:div w:id="292954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7559">
          <w:marLeft w:val="0"/>
          <w:marRight w:val="0"/>
          <w:marTop w:val="0"/>
          <w:marBottom w:val="0"/>
          <w:divBdr>
            <w:top w:val="none" w:sz="0" w:space="0" w:color="auto"/>
            <w:left w:val="none" w:sz="0" w:space="0" w:color="auto"/>
            <w:bottom w:val="none" w:sz="0" w:space="0" w:color="auto"/>
            <w:right w:val="none" w:sz="0" w:space="0" w:color="auto"/>
          </w:divBdr>
        </w:div>
        <w:div w:id="205652973">
          <w:marLeft w:val="0"/>
          <w:marRight w:val="0"/>
          <w:marTop w:val="0"/>
          <w:marBottom w:val="0"/>
          <w:divBdr>
            <w:top w:val="none" w:sz="0" w:space="0" w:color="auto"/>
            <w:left w:val="none" w:sz="0" w:space="0" w:color="auto"/>
            <w:bottom w:val="none" w:sz="0" w:space="0" w:color="auto"/>
            <w:right w:val="none" w:sz="0" w:space="0" w:color="auto"/>
          </w:divBdr>
        </w:div>
      </w:divsChild>
    </w:div>
    <w:div w:id="316887250">
      <w:bodyDiv w:val="1"/>
      <w:marLeft w:val="0"/>
      <w:marRight w:val="0"/>
      <w:marTop w:val="0"/>
      <w:marBottom w:val="0"/>
      <w:divBdr>
        <w:top w:val="none" w:sz="0" w:space="0" w:color="auto"/>
        <w:left w:val="none" w:sz="0" w:space="0" w:color="auto"/>
        <w:bottom w:val="none" w:sz="0" w:space="0" w:color="auto"/>
        <w:right w:val="none" w:sz="0" w:space="0" w:color="auto"/>
      </w:divBdr>
    </w:div>
    <w:div w:id="686367462">
      <w:bodyDiv w:val="1"/>
      <w:marLeft w:val="0"/>
      <w:marRight w:val="0"/>
      <w:marTop w:val="0"/>
      <w:marBottom w:val="0"/>
      <w:divBdr>
        <w:top w:val="none" w:sz="0" w:space="0" w:color="auto"/>
        <w:left w:val="none" w:sz="0" w:space="0" w:color="auto"/>
        <w:bottom w:val="none" w:sz="0" w:space="0" w:color="auto"/>
        <w:right w:val="none" w:sz="0" w:space="0" w:color="auto"/>
      </w:divBdr>
    </w:div>
    <w:div w:id="889150907">
      <w:bodyDiv w:val="1"/>
      <w:marLeft w:val="0"/>
      <w:marRight w:val="0"/>
      <w:marTop w:val="0"/>
      <w:marBottom w:val="0"/>
      <w:divBdr>
        <w:top w:val="none" w:sz="0" w:space="0" w:color="auto"/>
        <w:left w:val="none" w:sz="0" w:space="0" w:color="auto"/>
        <w:bottom w:val="none" w:sz="0" w:space="0" w:color="auto"/>
        <w:right w:val="none" w:sz="0" w:space="0" w:color="auto"/>
      </w:divBdr>
    </w:div>
    <w:div w:id="915943425">
      <w:bodyDiv w:val="1"/>
      <w:marLeft w:val="0"/>
      <w:marRight w:val="0"/>
      <w:marTop w:val="0"/>
      <w:marBottom w:val="0"/>
      <w:divBdr>
        <w:top w:val="none" w:sz="0" w:space="0" w:color="auto"/>
        <w:left w:val="none" w:sz="0" w:space="0" w:color="auto"/>
        <w:bottom w:val="none" w:sz="0" w:space="0" w:color="auto"/>
        <w:right w:val="none" w:sz="0" w:space="0" w:color="auto"/>
      </w:divBdr>
      <w:divsChild>
        <w:div w:id="102440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4692">
              <w:marLeft w:val="0"/>
              <w:marRight w:val="0"/>
              <w:marTop w:val="0"/>
              <w:marBottom w:val="0"/>
              <w:divBdr>
                <w:top w:val="none" w:sz="0" w:space="0" w:color="auto"/>
                <w:left w:val="none" w:sz="0" w:space="0" w:color="auto"/>
                <w:bottom w:val="none" w:sz="0" w:space="0" w:color="auto"/>
                <w:right w:val="none" w:sz="0" w:space="0" w:color="auto"/>
              </w:divBdr>
              <w:divsChild>
                <w:div w:id="1055856814">
                  <w:marLeft w:val="0"/>
                  <w:marRight w:val="0"/>
                  <w:marTop w:val="0"/>
                  <w:marBottom w:val="0"/>
                  <w:divBdr>
                    <w:top w:val="none" w:sz="0" w:space="0" w:color="auto"/>
                    <w:left w:val="none" w:sz="0" w:space="0" w:color="auto"/>
                    <w:bottom w:val="none" w:sz="0" w:space="0" w:color="auto"/>
                    <w:right w:val="none" w:sz="0" w:space="0" w:color="auto"/>
                  </w:divBdr>
                  <w:divsChild>
                    <w:div w:id="9307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18752">
      <w:bodyDiv w:val="1"/>
      <w:marLeft w:val="0"/>
      <w:marRight w:val="0"/>
      <w:marTop w:val="0"/>
      <w:marBottom w:val="0"/>
      <w:divBdr>
        <w:top w:val="none" w:sz="0" w:space="0" w:color="auto"/>
        <w:left w:val="none" w:sz="0" w:space="0" w:color="auto"/>
        <w:bottom w:val="none" w:sz="0" w:space="0" w:color="auto"/>
        <w:right w:val="none" w:sz="0" w:space="0" w:color="auto"/>
      </w:divBdr>
    </w:div>
    <w:div w:id="1804889667">
      <w:bodyDiv w:val="1"/>
      <w:marLeft w:val="0"/>
      <w:marRight w:val="0"/>
      <w:marTop w:val="0"/>
      <w:marBottom w:val="0"/>
      <w:divBdr>
        <w:top w:val="none" w:sz="0" w:space="0" w:color="auto"/>
        <w:left w:val="none" w:sz="0" w:space="0" w:color="auto"/>
        <w:bottom w:val="none" w:sz="0" w:space="0" w:color="auto"/>
        <w:right w:val="none" w:sz="0" w:space="0" w:color="auto"/>
      </w:divBdr>
      <w:divsChild>
        <w:div w:id="801268469">
          <w:marLeft w:val="0"/>
          <w:marRight w:val="0"/>
          <w:marTop w:val="0"/>
          <w:marBottom w:val="0"/>
          <w:divBdr>
            <w:top w:val="none" w:sz="0" w:space="0" w:color="auto"/>
            <w:left w:val="none" w:sz="0" w:space="0" w:color="auto"/>
            <w:bottom w:val="none" w:sz="0" w:space="0" w:color="auto"/>
            <w:right w:val="none" w:sz="0" w:space="0" w:color="auto"/>
          </w:divBdr>
          <w:divsChild>
            <w:div w:id="7322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10482">
      <w:bodyDiv w:val="1"/>
      <w:marLeft w:val="0"/>
      <w:marRight w:val="0"/>
      <w:marTop w:val="0"/>
      <w:marBottom w:val="0"/>
      <w:divBdr>
        <w:top w:val="none" w:sz="0" w:space="0" w:color="auto"/>
        <w:left w:val="none" w:sz="0" w:space="0" w:color="auto"/>
        <w:bottom w:val="none" w:sz="0" w:space="0" w:color="auto"/>
        <w:right w:val="none" w:sz="0" w:space="0" w:color="auto"/>
      </w:divBdr>
    </w:div>
    <w:div w:id="196727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F3BC5F6E5A94AA623F50CDB41F19D" ma:contentTypeVersion="4" ma:contentTypeDescription="Create a new document." ma:contentTypeScope="" ma:versionID="3cc04e1a7c1f4644aa3300356c681fad">
  <xsd:schema xmlns:xsd="http://www.w3.org/2001/XMLSchema" xmlns:xs="http://www.w3.org/2001/XMLSchema" xmlns:p="http://schemas.microsoft.com/office/2006/metadata/properties" xmlns:ns3="684c88f0-0706-4a69-8115-2b8b103538ce" targetNamespace="http://schemas.microsoft.com/office/2006/metadata/properties" ma:root="true" ma:fieldsID="c92c81403bbdda1d8946c1de9873c906" ns3:_="">
    <xsd:import namespace="684c88f0-0706-4a69-8115-2b8b103538c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88f0-0706-4a69-8115-2b8b10353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84c88f0-0706-4a69-8115-2b8b103538ce" xsi:nil="true"/>
  </documentManagement>
</p:properties>
</file>

<file path=customXml/itemProps1.xml><?xml version="1.0" encoding="utf-8"?>
<ds:datastoreItem xmlns:ds="http://schemas.openxmlformats.org/officeDocument/2006/customXml" ds:itemID="{E346EA95-F667-45D2-B39A-95373CD30FF2}">
  <ds:schemaRefs>
    <ds:schemaRef ds:uri="http://schemas.microsoft.com/sharepoint/v3/contenttype/forms"/>
  </ds:schemaRefs>
</ds:datastoreItem>
</file>

<file path=customXml/itemProps2.xml><?xml version="1.0" encoding="utf-8"?>
<ds:datastoreItem xmlns:ds="http://schemas.openxmlformats.org/officeDocument/2006/customXml" ds:itemID="{A3EE60DF-A1D0-46FF-B84F-4D9B646E2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88f0-0706-4a69-8115-2b8b10353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F6410-D59E-4A00-957C-E3FC3B582016}">
  <ds:schemaRefs>
    <ds:schemaRef ds:uri="http://schemas.openxmlformats.org/officeDocument/2006/bibliography"/>
  </ds:schemaRefs>
</ds:datastoreItem>
</file>

<file path=customXml/itemProps4.xml><?xml version="1.0" encoding="utf-8"?>
<ds:datastoreItem xmlns:ds="http://schemas.openxmlformats.org/officeDocument/2006/customXml" ds:itemID="{763772F6-5989-4015-AFB5-EA1810D0D7A6}">
  <ds:schemaRefs>
    <ds:schemaRef ds:uri="http://schemas.microsoft.com/office/2006/metadata/properties"/>
    <ds:schemaRef ds:uri="http://schemas.microsoft.com/office/infopath/2007/PartnerControls"/>
    <ds:schemaRef ds:uri="684c88f0-0706-4a69-8115-2b8b103538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Ruiz</dc:creator>
  <cp:lastModifiedBy>Euromedia Comunicación</cp:lastModifiedBy>
  <cp:revision>2</cp:revision>
  <dcterms:created xsi:type="dcterms:W3CDTF">2025-10-03T08:25:00Z</dcterms:created>
  <dcterms:modified xsi:type="dcterms:W3CDTF">2025-10-03T08:25:00Z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0x010100A98F3BC5F6E5A94AA623F50CDB41F19D</vt:lpwstr>
  </property>
</Properties>
</file>