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8ACF" w14:textId="5B3CA559" w:rsidR="006D0F85" w:rsidRDefault="00251B44" w:rsidP="00251B44">
      <w:pPr>
        <w:tabs>
          <w:tab w:val="left" w:pos="2265"/>
        </w:tabs>
        <w:spacing w:after="0" w:line="240" w:lineRule="auto"/>
        <w:jc w:val="center"/>
        <w:rPr>
          <w:rFonts w:cstheme="minorHAnsi"/>
          <w:b/>
          <w:sz w:val="28"/>
          <w:szCs w:val="28"/>
        </w:rPr>
      </w:pPr>
      <w:r>
        <w:rPr>
          <w:rFonts w:ascii="Aptos" w:hAnsi="Aptos" w:cs="Arial"/>
          <w:b/>
          <w:noProof/>
          <w:sz w:val="28"/>
          <w:szCs w:val="28"/>
        </w:rPr>
        <w:drawing>
          <wp:inline distT="0" distB="0" distL="0" distR="0" wp14:anchorId="40A03A92" wp14:editId="729914AB">
            <wp:extent cx="3019425" cy="886228"/>
            <wp:effectExtent l="0" t="0" r="0" b="0"/>
            <wp:docPr id="592786198"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86198" name="Imagen 1" descr="Un dibujo de una cara feliz&#10;&#10;El contenido generado por IA puede ser incorrec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1137" cy="889666"/>
                    </a:xfrm>
                    <a:prstGeom prst="rect">
                      <a:avLst/>
                    </a:prstGeom>
                  </pic:spPr>
                </pic:pic>
              </a:graphicData>
            </a:graphic>
          </wp:inline>
        </w:drawing>
      </w:r>
    </w:p>
    <w:p w14:paraId="07B21EE3" w14:textId="77777777" w:rsidR="00251B44" w:rsidRDefault="00251B44" w:rsidP="00251B44">
      <w:pPr>
        <w:tabs>
          <w:tab w:val="left" w:pos="2265"/>
        </w:tabs>
        <w:spacing w:after="0" w:line="240" w:lineRule="auto"/>
        <w:jc w:val="center"/>
        <w:rPr>
          <w:rFonts w:cstheme="minorHAnsi"/>
          <w:b/>
          <w:sz w:val="28"/>
          <w:szCs w:val="28"/>
          <w:u w:val="single"/>
        </w:rPr>
      </w:pPr>
    </w:p>
    <w:p w14:paraId="35A6FF2A" w14:textId="0DF19371" w:rsidR="00251B44" w:rsidRDefault="00251B44" w:rsidP="00251B44">
      <w:pPr>
        <w:tabs>
          <w:tab w:val="left" w:pos="2265"/>
        </w:tabs>
        <w:spacing w:after="0" w:line="240" w:lineRule="auto"/>
        <w:jc w:val="center"/>
        <w:rPr>
          <w:rFonts w:cstheme="minorHAnsi"/>
          <w:b/>
          <w:sz w:val="28"/>
          <w:szCs w:val="28"/>
          <w:u w:val="single"/>
        </w:rPr>
      </w:pPr>
      <w:r w:rsidRPr="00251B44">
        <w:rPr>
          <w:rFonts w:cstheme="minorHAnsi"/>
          <w:b/>
          <w:sz w:val="28"/>
          <w:szCs w:val="28"/>
          <w:u w:val="single"/>
        </w:rPr>
        <w:t>NOTA DE PRENSA</w:t>
      </w:r>
    </w:p>
    <w:p w14:paraId="4224843B" w14:textId="77777777" w:rsidR="00251B44" w:rsidRPr="00251B44" w:rsidRDefault="00251B44" w:rsidP="00251B44">
      <w:pPr>
        <w:tabs>
          <w:tab w:val="left" w:pos="2265"/>
        </w:tabs>
        <w:spacing w:after="0" w:line="240" w:lineRule="auto"/>
        <w:jc w:val="center"/>
        <w:rPr>
          <w:rFonts w:cstheme="minorHAnsi"/>
          <w:b/>
          <w:sz w:val="28"/>
          <w:szCs w:val="28"/>
          <w:u w:val="single"/>
        </w:rPr>
      </w:pPr>
    </w:p>
    <w:p w14:paraId="7610FCD7" w14:textId="77777777" w:rsidR="00244E9E" w:rsidRPr="00307A53" w:rsidRDefault="00244E9E" w:rsidP="00307A53">
      <w:pPr>
        <w:tabs>
          <w:tab w:val="left" w:pos="2265"/>
        </w:tabs>
        <w:spacing w:after="0" w:line="240" w:lineRule="auto"/>
        <w:jc w:val="both"/>
        <w:rPr>
          <w:rFonts w:cstheme="minorHAnsi"/>
          <w:b/>
          <w:sz w:val="28"/>
          <w:szCs w:val="28"/>
        </w:rPr>
      </w:pPr>
      <w:r w:rsidRPr="00307A53">
        <w:rPr>
          <w:rFonts w:cstheme="minorHAnsi"/>
          <w:b/>
          <w:sz w:val="28"/>
          <w:szCs w:val="28"/>
        </w:rPr>
        <w:t>UN PROYECTO A PEQUEÑA ESCALA ACREDITA EL POTENCIAL DE LA INTELIGENCIA ARTIFICIAL PARA LA GESTIÓN DEL RIEGO EN SITUACIONES DE SEQUÍA</w:t>
      </w:r>
      <w:r w:rsidR="00E62273">
        <w:rPr>
          <w:rFonts w:cstheme="minorHAnsi"/>
          <w:b/>
          <w:sz w:val="28"/>
          <w:szCs w:val="28"/>
        </w:rPr>
        <w:t xml:space="preserve"> SIN UNA ALTA INVERSIÓN EN SENSORES FÍSICOS</w:t>
      </w:r>
    </w:p>
    <w:p w14:paraId="04C0B58D" w14:textId="77777777" w:rsidR="00244E9E" w:rsidRPr="00307A53" w:rsidRDefault="00244E9E" w:rsidP="00307A53">
      <w:pPr>
        <w:tabs>
          <w:tab w:val="left" w:pos="2265"/>
        </w:tabs>
        <w:spacing w:after="0" w:line="240" w:lineRule="auto"/>
        <w:jc w:val="both"/>
        <w:rPr>
          <w:rFonts w:cstheme="minorHAnsi"/>
          <w:b/>
          <w:sz w:val="28"/>
          <w:szCs w:val="28"/>
        </w:rPr>
      </w:pPr>
    </w:p>
    <w:p w14:paraId="700195FF" w14:textId="3B637C01" w:rsidR="00244E9E" w:rsidRDefault="00244E9E" w:rsidP="00307A53">
      <w:pPr>
        <w:tabs>
          <w:tab w:val="left" w:pos="2265"/>
        </w:tabs>
        <w:spacing w:after="0" w:line="240" w:lineRule="auto"/>
        <w:jc w:val="both"/>
        <w:rPr>
          <w:rFonts w:cstheme="minorHAnsi"/>
          <w:b/>
          <w:sz w:val="28"/>
          <w:szCs w:val="28"/>
        </w:rPr>
      </w:pPr>
      <w:r w:rsidRPr="00307A53">
        <w:rPr>
          <w:rFonts w:cstheme="minorHAnsi"/>
          <w:b/>
          <w:sz w:val="28"/>
          <w:szCs w:val="28"/>
        </w:rPr>
        <w:t xml:space="preserve">Presentan los resultados de </w:t>
      </w:r>
      <w:proofErr w:type="spellStart"/>
      <w:r w:rsidRPr="00307A53">
        <w:rPr>
          <w:rFonts w:cstheme="minorHAnsi"/>
          <w:b/>
          <w:sz w:val="28"/>
          <w:szCs w:val="28"/>
        </w:rPr>
        <w:t>AquaIA</w:t>
      </w:r>
      <w:proofErr w:type="spellEnd"/>
      <w:r w:rsidRPr="00307A53">
        <w:rPr>
          <w:rFonts w:cstheme="minorHAnsi"/>
          <w:b/>
          <w:sz w:val="28"/>
          <w:szCs w:val="28"/>
        </w:rPr>
        <w:t xml:space="preserve">, que ha medido la eficacia de las recomendaciones de un sistema </w:t>
      </w:r>
      <w:r w:rsidR="006D0F85" w:rsidRPr="00307A53">
        <w:rPr>
          <w:rFonts w:cstheme="minorHAnsi"/>
          <w:b/>
          <w:sz w:val="28"/>
          <w:szCs w:val="28"/>
        </w:rPr>
        <w:t>ciberfísico de programación de riego en una explotación ecológica</w:t>
      </w:r>
      <w:r w:rsidR="00FA44E2">
        <w:rPr>
          <w:rFonts w:cstheme="minorHAnsi"/>
          <w:b/>
          <w:sz w:val="28"/>
          <w:szCs w:val="28"/>
        </w:rPr>
        <w:t xml:space="preserve"> en un huerto social. </w:t>
      </w:r>
    </w:p>
    <w:p w14:paraId="07E44530" w14:textId="77777777" w:rsidR="00244E9E" w:rsidRPr="00307A53" w:rsidRDefault="00244E9E" w:rsidP="00307A53">
      <w:pPr>
        <w:tabs>
          <w:tab w:val="left" w:pos="2265"/>
        </w:tabs>
        <w:spacing w:after="0" w:line="240" w:lineRule="auto"/>
        <w:jc w:val="both"/>
        <w:rPr>
          <w:rFonts w:cstheme="minorHAnsi"/>
          <w:b/>
          <w:sz w:val="28"/>
          <w:szCs w:val="28"/>
        </w:rPr>
      </w:pPr>
    </w:p>
    <w:p w14:paraId="5B3EE521" w14:textId="77777777" w:rsidR="006D0F85" w:rsidRPr="00307A53" w:rsidRDefault="006D0F85" w:rsidP="00307A53">
      <w:pPr>
        <w:spacing w:after="0" w:line="240" w:lineRule="auto"/>
        <w:jc w:val="both"/>
        <w:rPr>
          <w:rFonts w:cstheme="minorHAnsi"/>
          <w:b/>
          <w:sz w:val="28"/>
          <w:szCs w:val="28"/>
        </w:rPr>
      </w:pPr>
      <w:r w:rsidRPr="00307A53">
        <w:rPr>
          <w:rFonts w:cstheme="minorHAnsi"/>
          <w:b/>
          <w:sz w:val="28"/>
          <w:szCs w:val="28"/>
        </w:rPr>
        <w:t xml:space="preserve">Los promotores de </w:t>
      </w:r>
      <w:proofErr w:type="spellStart"/>
      <w:r w:rsidRPr="00307A53">
        <w:rPr>
          <w:rFonts w:cstheme="minorHAnsi"/>
          <w:b/>
          <w:sz w:val="28"/>
          <w:szCs w:val="28"/>
        </w:rPr>
        <w:t>AquaIA</w:t>
      </w:r>
      <w:proofErr w:type="spellEnd"/>
      <w:r w:rsidRPr="00307A53">
        <w:rPr>
          <w:rFonts w:cstheme="minorHAnsi"/>
          <w:b/>
          <w:sz w:val="28"/>
          <w:szCs w:val="28"/>
        </w:rPr>
        <w:t xml:space="preserve"> </w:t>
      </w:r>
      <w:r w:rsidR="00307A53" w:rsidRPr="00307A53">
        <w:rPr>
          <w:rFonts w:cstheme="minorHAnsi"/>
          <w:b/>
          <w:sz w:val="28"/>
          <w:szCs w:val="28"/>
        </w:rPr>
        <w:t>han desarrolla</w:t>
      </w:r>
      <w:r w:rsidR="00244E9E" w:rsidRPr="00307A53">
        <w:rPr>
          <w:rFonts w:cstheme="minorHAnsi"/>
          <w:b/>
          <w:sz w:val="28"/>
          <w:szCs w:val="28"/>
        </w:rPr>
        <w:t>do</w:t>
      </w:r>
      <w:r w:rsidRPr="00307A53">
        <w:rPr>
          <w:rFonts w:cstheme="minorHAnsi"/>
          <w:b/>
          <w:sz w:val="28"/>
          <w:szCs w:val="28"/>
        </w:rPr>
        <w:t xml:space="preserve"> una herramienta TIC basada en tecnologías de </w:t>
      </w:r>
      <w:proofErr w:type="spellStart"/>
      <w:r w:rsidRPr="00307A53">
        <w:rPr>
          <w:rFonts w:cstheme="minorHAnsi"/>
          <w:b/>
          <w:sz w:val="28"/>
          <w:szCs w:val="28"/>
        </w:rPr>
        <w:t>IoT</w:t>
      </w:r>
      <w:proofErr w:type="spellEnd"/>
      <w:r w:rsidRPr="00307A53">
        <w:rPr>
          <w:rFonts w:cstheme="minorHAnsi"/>
          <w:b/>
          <w:sz w:val="28"/>
          <w:szCs w:val="28"/>
        </w:rPr>
        <w:t xml:space="preserve">, IA, </w:t>
      </w:r>
      <w:r w:rsidRPr="00307A53">
        <w:rPr>
          <w:rFonts w:cstheme="minorHAnsi"/>
          <w:b/>
          <w:i/>
          <w:iCs/>
          <w:sz w:val="28"/>
          <w:szCs w:val="28"/>
        </w:rPr>
        <w:t xml:space="preserve">Machine </w:t>
      </w:r>
      <w:proofErr w:type="spellStart"/>
      <w:r w:rsidRPr="00307A53">
        <w:rPr>
          <w:rFonts w:cstheme="minorHAnsi"/>
          <w:b/>
          <w:i/>
          <w:iCs/>
          <w:sz w:val="28"/>
          <w:szCs w:val="28"/>
        </w:rPr>
        <w:t>Learning</w:t>
      </w:r>
      <w:proofErr w:type="spellEnd"/>
      <w:r w:rsidRPr="00307A53">
        <w:rPr>
          <w:rFonts w:cstheme="minorHAnsi"/>
          <w:b/>
          <w:sz w:val="28"/>
          <w:szCs w:val="28"/>
        </w:rPr>
        <w:t xml:space="preserve"> y Análisis Geoespacial, con capacidad para integrar las variables de suelo, clima, cultivos asociados y la biodiversidad propia de las huertas ecológicas.</w:t>
      </w:r>
    </w:p>
    <w:p w14:paraId="16E900A7" w14:textId="77777777" w:rsidR="00307A53" w:rsidRPr="00307A53" w:rsidRDefault="00307A53" w:rsidP="00307A53">
      <w:pPr>
        <w:spacing w:after="0" w:line="240" w:lineRule="auto"/>
        <w:jc w:val="both"/>
        <w:rPr>
          <w:rFonts w:cstheme="minorHAnsi"/>
          <w:b/>
          <w:sz w:val="28"/>
          <w:szCs w:val="28"/>
        </w:rPr>
      </w:pPr>
    </w:p>
    <w:p w14:paraId="03CABC19" w14:textId="28E638E8" w:rsidR="00307A53" w:rsidRPr="00307A53" w:rsidRDefault="00307A53" w:rsidP="00307A53">
      <w:pPr>
        <w:spacing w:after="0" w:line="240" w:lineRule="auto"/>
        <w:jc w:val="both"/>
        <w:rPr>
          <w:rFonts w:eastAsia="Times New Roman" w:cstheme="minorHAnsi"/>
          <w:b/>
          <w:sz w:val="28"/>
          <w:szCs w:val="28"/>
          <w:lang w:eastAsia="es-ES"/>
        </w:rPr>
      </w:pPr>
      <w:r w:rsidRPr="00307A53">
        <w:rPr>
          <w:rFonts w:eastAsia="Times New Roman" w:cstheme="minorHAnsi"/>
          <w:b/>
          <w:sz w:val="28"/>
          <w:szCs w:val="28"/>
          <w:lang w:eastAsia="es-ES"/>
        </w:rPr>
        <w:t>Frente a otros sistemas predictivos, el valor de esta herramienta es que apoya sus recomendaciones en sensores virtuales que permiten interferir datos de unas parcelas a otras, evitando la alta inversión en sensores físicos</w:t>
      </w:r>
      <w:r w:rsidR="00714DE8">
        <w:rPr>
          <w:rFonts w:eastAsia="Times New Roman" w:cstheme="minorHAnsi"/>
          <w:b/>
          <w:sz w:val="28"/>
          <w:szCs w:val="28"/>
          <w:lang w:eastAsia="es-ES"/>
        </w:rPr>
        <w:t>.</w:t>
      </w:r>
    </w:p>
    <w:p w14:paraId="139EABC1" w14:textId="77777777" w:rsidR="00307A53" w:rsidRPr="00307A53" w:rsidRDefault="00307A53" w:rsidP="00307A53">
      <w:pPr>
        <w:spacing w:after="0" w:line="240" w:lineRule="auto"/>
        <w:jc w:val="both"/>
        <w:rPr>
          <w:rFonts w:cstheme="minorHAnsi"/>
          <w:b/>
          <w:sz w:val="28"/>
          <w:szCs w:val="28"/>
        </w:rPr>
      </w:pPr>
      <w:r w:rsidRPr="00307A53">
        <w:rPr>
          <w:rFonts w:eastAsia="Times New Roman" w:cstheme="minorHAnsi"/>
          <w:b/>
          <w:sz w:val="28"/>
          <w:szCs w:val="28"/>
          <w:lang w:eastAsia="es-ES"/>
        </w:rPr>
        <w:t xml:space="preserve"> </w:t>
      </w:r>
    </w:p>
    <w:p w14:paraId="492FC615" w14:textId="7B0FACCF" w:rsidR="00307A53" w:rsidRDefault="00307A53" w:rsidP="00307A53">
      <w:pPr>
        <w:autoSpaceDE w:val="0"/>
        <w:autoSpaceDN w:val="0"/>
        <w:adjustRightInd w:val="0"/>
        <w:spacing w:after="0" w:line="240" w:lineRule="auto"/>
        <w:jc w:val="both"/>
        <w:rPr>
          <w:rFonts w:cstheme="minorHAnsi"/>
          <w:b/>
          <w:sz w:val="28"/>
          <w:szCs w:val="28"/>
        </w:rPr>
      </w:pPr>
      <w:r w:rsidRPr="00307A53">
        <w:rPr>
          <w:rFonts w:cstheme="minorHAnsi"/>
          <w:b/>
          <w:sz w:val="28"/>
          <w:szCs w:val="28"/>
        </w:rPr>
        <w:t>Las conclusiones de</w:t>
      </w:r>
      <w:r w:rsidR="00714DE8">
        <w:rPr>
          <w:rFonts w:cstheme="minorHAnsi"/>
          <w:b/>
          <w:sz w:val="28"/>
          <w:szCs w:val="28"/>
        </w:rPr>
        <w:t xml:space="preserve"> </w:t>
      </w:r>
      <w:proofErr w:type="spellStart"/>
      <w:r w:rsidR="00714DE8">
        <w:rPr>
          <w:rFonts w:cstheme="minorHAnsi"/>
          <w:b/>
          <w:sz w:val="28"/>
          <w:szCs w:val="28"/>
        </w:rPr>
        <w:t>AquaIA</w:t>
      </w:r>
      <w:proofErr w:type="spellEnd"/>
      <w:r w:rsidR="00714DE8">
        <w:rPr>
          <w:rFonts w:cstheme="minorHAnsi"/>
          <w:b/>
          <w:sz w:val="28"/>
          <w:szCs w:val="28"/>
        </w:rPr>
        <w:t xml:space="preserve"> </w:t>
      </w:r>
      <w:r w:rsidRPr="00307A53">
        <w:rPr>
          <w:rFonts w:cstheme="minorHAnsi"/>
          <w:b/>
          <w:sz w:val="28"/>
          <w:szCs w:val="28"/>
        </w:rPr>
        <w:t xml:space="preserve">han sido expuestas hoy por </w:t>
      </w:r>
      <w:r w:rsidRPr="00307A53">
        <w:rPr>
          <w:rFonts w:eastAsia="Times New Roman" w:cstheme="minorHAnsi"/>
          <w:b/>
          <w:sz w:val="28"/>
          <w:szCs w:val="28"/>
          <w:lang w:eastAsia="es-ES"/>
        </w:rPr>
        <w:t xml:space="preserve">los socios de este proyecto, </w:t>
      </w:r>
      <w:r w:rsidRPr="00307A53">
        <w:rPr>
          <w:rFonts w:cstheme="minorHAnsi"/>
          <w:b/>
          <w:bCs/>
          <w:sz w:val="28"/>
          <w:szCs w:val="28"/>
        </w:rPr>
        <w:t xml:space="preserve">que ha sido </w:t>
      </w:r>
      <w:r w:rsidRPr="00307A53">
        <w:rPr>
          <w:rFonts w:cstheme="minorHAnsi"/>
          <w:b/>
          <w:sz w:val="28"/>
          <w:szCs w:val="28"/>
        </w:rPr>
        <w:t>cofinanciado por la Junta de Andalucía y la Unión Europea a través del Programa de Desarrollo Rural de Andalucía 2014-2022 (FEADER).</w:t>
      </w:r>
    </w:p>
    <w:p w14:paraId="055C1E0A" w14:textId="77777777" w:rsidR="00714DE8" w:rsidRPr="00307A53" w:rsidRDefault="00714DE8" w:rsidP="00307A53">
      <w:pPr>
        <w:autoSpaceDE w:val="0"/>
        <w:autoSpaceDN w:val="0"/>
        <w:adjustRightInd w:val="0"/>
        <w:spacing w:after="0" w:line="240" w:lineRule="auto"/>
        <w:jc w:val="both"/>
        <w:rPr>
          <w:rFonts w:cstheme="minorHAnsi"/>
          <w:b/>
          <w:sz w:val="28"/>
          <w:szCs w:val="28"/>
        </w:rPr>
      </w:pPr>
    </w:p>
    <w:p w14:paraId="48CEEB98" w14:textId="77777777" w:rsidR="00307A53" w:rsidRDefault="00307A53" w:rsidP="00307A53">
      <w:pPr>
        <w:autoSpaceDE w:val="0"/>
        <w:autoSpaceDN w:val="0"/>
        <w:adjustRightInd w:val="0"/>
        <w:spacing w:after="0" w:line="240" w:lineRule="auto"/>
        <w:jc w:val="both"/>
        <w:rPr>
          <w:rFonts w:cstheme="minorHAnsi"/>
          <w:b/>
          <w:sz w:val="24"/>
          <w:szCs w:val="24"/>
        </w:rPr>
      </w:pPr>
    </w:p>
    <w:p w14:paraId="45310980" w14:textId="7DF38BB2" w:rsidR="00644871" w:rsidRPr="00644871" w:rsidRDefault="00244E9E" w:rsidP="00644871">
      <w:pPr>
        <w:spacing w:after="0" w:line="240" w:lineRule="auto"/>
        <w:jc w:val="both"/>
        <w:rPr>
          <w:rFonts w:cstheme="minorHAnsi"/>
          <w:sz w:val="24"/>
          <w:szCs w:val="24"/>
        </w:rPr>
      </w:pPr>
      <w:r w:rsidRPr="00307A53">
        <w:rPr>
          <w:rFonts w:cstheme="minorHAnsi"/>
          <w:b/>
          <w:sz w:val="24"/>
          <w:szCs w:val="24"/>
        </w:rPr>
        <w:t xml:space="preserve">Sevilla, 28 de mayo de 2025. </w:t>
      </w:r>
      <w:r w:rsidR="00E62273">
        <w:rPr>
          <w:rFonts w:eastAsia="Times New Roman" w:cstheme="minorHAnsi"/>
          <w:sz w:val="24"/>
          <w:szCs w:val="24"/>
          <w:lang w:eastAsia="es-ES"/>
        </w:rPr>
        <w:t>U</w:t>
      </w:r>
      <w:r w:rsidR="00E62273" w:rsidRPr="00307A53">
        <w:rPr>
          <w:rFonts w:eastAsia="Times New Roman" w:cstheme="minorHAnsi"/>
          <w:sz w:val="24"/>
          <w:szCs w:val="24"/>
          <w:lang w:eastAsia="es-ES"/>
        </w:rPr>
        <w:t>n proyecto de innovación p</w:t>
      </w:r>
      <w:r w:rsidR="00E62273" w:rsidRPr="00307A53">
        <w:rPr>
          <w:rFonts w:cstheme="minorHAnsi"/>
          <w:sz w:val="24"/>
          <w:szCs w:val="24"/>
        </w:rPr>
        <w:t xml:space="preserve">romovido por la Universidad de Sevilla, FIWOO, </w:t>
      </w:r>
      <w:proofErr w:type="spellStart"/>
      <w:r w:rsidR="00E62273" w:rsidRPr="00307A53">
        <w:rPr>
          <w:rFonts w:cstheme="minorHAnsi"/>
          <w:sz w:val="24"/>
          <w:szCs w:val="24"/>
        </w:rPr>
        <w:t>BioAlverde</w:t>
      </w:r>
      <w:proofErr w:type="spellEnd"/>
      <w:r w:rsidR="00E62273" w:rsidRPr="00307A53">
        <w:rPr>
          <w:rFonts w:cstheme="minorHAnsi"/>
          <w:sz w:val="24"/>
          <w:szCs w:val="24"/>
        </w:rPr>
        <w:t xml:space="preserve">, </w:t>
      </w:r>
      <w:proofErr w:type="spellStart"/>
      <w:r w:rsidR="00E62273" w:rsidRPr="00307A53">
        <w:rPr>
          <w:rFonts w:cstheme="minorHAnsi"/>
          <w:sz w:val="24"/>
          <w:szCs w:val="24"/>
        </w:rPr>
        <w:t>Feragua</w:t>
      </w:r>
      <w:proofErr w:type="spellEnd"/>
      <w:r w:rsidR="00E62273" w:rsidRPr="00307A53">
        <w:rPr>
          <w:rFonts w:cstheme="minorHAnsi"/>
          <w:sz w:val="24"/>
          <w:szCs w:val="24"/>
        </w:rPr>
        <w:t xml:space="preserve"> </w:t>
      </w:r>
      <w:r w:rsidR="00404B77" w:rsidRPr="00404B77">
        <w:rPr>
          <w:rFonts w:cstheme="minorHAnsi"/>
          <w:sz w:val="24"/>
          <w:szCs w:val="24"/>
        </w:rPr>
        <w:t>(Asociación de Comunidades de Regantes de Andalucía)</w:t>
      </w:r>
      <w:r w:rsidR="00404B77">
        <w:rPr>
          <w:rFonts w:cstheme="minorHAnsi"/>
          <w:sz w:val="24"/>
          <w:szCs w:val="24"/>
        </w:rPr>
        <w:t xml:space="preserve"> </w:t>
      </w:r>
      <w:r w:rsidR="00E62273" w:rsidRPr="00307A53">
        <w:rPr>
          <w:rFonts w:cstheme="minorHAnsi"/>
          <w:sz w:val="24"/>
          <w:szCs w:val="24"/>
        </w:rPr>
        <w:t xml:space="preserve">y la Universidad Loyola </w:t>
      </w:r>
      <w:r w:rsidR="00E62273">
        <w:rPr>
          <w:rFonts w:cstheme="minorHAnsi"/>
          <w:sz w:val="24"/>
          <w:szCs w:val="24"/>
        </w:rPr>
        <w:t>se ha enfrentado al que se considera el principal</w:t>
      </w:r>
      <w:r w:rsidR="00E62273" w:rsidRPr="00307A53">
        <w:rPr>
          <w:rFonts w:cstheme="minorHAnsi"/>
          <w:sz w:val="24"/>
          <w:szCs w:val="24"/>
        </w:rPr>
        <w:t xml:space="preserve"> obstáculo </w:t>
      </w:r>
      <w:r w:rsidR="00E62273">
        <w:rPr>
          <w:rFonts w:cstheme="minorHAnsi"/>
          <w:sz w:val="24"/>
          <w:szCs w:val="24"/>
        </w:rPr>
        <w:t xml:space="preserve">para </w:t>
      </w:r>
      <w:r w:rsidR="00E62273" w:rsidRPr="00307A53">
        <w:rPr>
          <w:rFonts w:cstheme="minorHAnsi"/>
          <w:sz w:val="24"/>
          <w:szCs w:val="24"/>
        </w:rPr>
        <w:t>aprovechar todo el potencial de la IA y las tecnologías digitales en la mejora de la eficiencia hídrica del regadío</w:t>
      </w:r>
      <w:r w:rsidR="00E62273">
        <w:rPr>
          <w:rFonts w:cstheme="minorHAnsi"/>
          <w:sz w:val="24"/>
          <w:szCs w:val="24"/>
        </w:rPr>
        <w:t xml:space="preserve">: la alta inversión en sensores físicos necesarias para ello. </w:t>
      </w:r>
      <w:r w:rsidR="00644871">
        <w:rPr>
          <w:rFonts w:cstheme="minorHAnsi"/>
          <w:sz w:val="24"/>
          <w:szCs w:val="24"/>
        </w:rPr>
        <w:t xml:space="preserve">Para ello, los promotores de este proyecto, </w:t>
      </w:r>
      <w:r w:rsidR="007D5DF1">
        <w:rPr>
          <w:rFonts w:cstheme="minorHAnsi"/>
          <w:sz w:val="24"/>
          <w:szCs w:val="24"/>
        </w:rPr>
        <w:t xml:space="preserve">denominado </w:t>
      </w:r>
      <w:proofErr w:type="spellStart"/>
      <w:r w:rsidR="00644871">
        <w:rPr>
          <w:rFonts w:cstheme="minorHAnsi"/>
          <w:sz w:val="24"/>
          <w:szCs w:val="24"/>
        </w:rPr>
        <w:t>AquaIA</w:t>
      </w:r>
      <w:proofErr w:type="spellEnd"/>
      <w:r w:rsidR="007D5DF1">
        <w:rPr>
          <w:rFonts w:cstheme="minorHAnsi"/>
          <w:sz w:val="24"/>
          <w:szCs w:val="24"/>
        </w:rPr>
        <w:t xml:space="preserve">, </w:t>
      </w:r>
      <w:r w:rsidR="00644871">
        <w:rPr>
          <w:rFonts w:cstheme="minorHAnsi"/>
          <w:sz w:val="24"/>
          <w:szCs w:val="24"/>
        </w:rPr>
        <w:t xml:space="preserve">han </w:t>
      </w:r>
      <w:r w:rsidR="00644871" w:rsidRPr="00644871">
        <w:rPr>
          <w:rFonts w:cstheme="minorHAnsi"/>
          <w:sz w:val="24"/>
          <w:szCs w:val="24"/>
        </w:rPr>
        <w:t xml:space="preserve">desarrollado una herramienta TIC basada en tecnologías de </w:t>
      </w:r>
      <w:proofErr w:type="spellStart"/>
      <w:r w:rsidR="00644871" w:rsidRPr="00644871">
        <w:rPr>
          <w:rFonts w:cstheme="minorHAnsi"/>
          <w:sz w:val="24"/>
          <w:szCs w:val="24"/>
        </w:rPr>
        <w:t>IoT</w:t>
      </w:r>
      <w:proofErr w:type="spellEnd"/>
      <w:r w:rsidR="00644871" w:rsidRPr="00644871">
        <w:rPr>
          <w:rFonts w:cstheme="minorHAnsi"/>
          <w:sz w:val="24"/>
          <w:szCs w:val="24"/>
        </w:rPr>
        <w:t xml:space="preserve">, IA, </w:t>
      </w:r>
      <w:r w:rsidR="00644871" w:rsidRPr="00644871">
        <w:rPr>
          <w:rFonts w:cstheme="minorHAnsi"/>
          <w:i/>
          <w:iCs/>
          <w:sz w:val="24"/>
          <w:szCs w:val="24"/>
        </w:rPr>
        <w:t xml:space="preserve">Machine </w:t>
      </w:r>
      <w:proofErr w:type="spellStart"/>
      <w:r w:rsidR="00644871" w:rsidRPr="00644871">
        <w:rPr>
          <w:rFonts w:cstheme="minorHAnsi"/>
          <w:i/>
          <w:iCs/>
          <w:sz w:val="24"/>
          <w:szCs w:val="24"/>
        </w:rPr>
        <w:t>Learning</w:t>
      </w:r>
      <w:proofErr w:type="spellEnd"/>
      <w:r w:rsidR="00644871" w:rsidRPr="00644871">
        <w:rPr>
          <w:rFonts w:cstheme="minorHAnsi"/>
          <w:sz w:val="24"/>
          <w:szCs w:val="24"/>
        </w:rPr>
        <w:t xml:space="preserve"> y Análisis Geoespacial, con capacidad para integrar las variables de suelo, clima, cultivos asociados y la biodiversidad propia de las huertas ecológicas</w:t>
      </w:r>
      <w:r w:rsidR="00644871">
        <w:rPr>
          <w:rFonts w:cstheme="minorHAnsi"/>
          <w:sz w:val="24"/>
          <w:szCs w:val="24"/>
        </w:rPr>
        <w:t>, y que se ha demostrado útil y eficaz para aportar recomendaciones de riego en situaciones de sequía</w:t>
      </w:r>
      <w:r w:rsidR="00644871" w:rsidRPr="00644871">
        <w:rPr>
          <w:rFonts w:cstheme="minorHAnsi"/>
          <w:sz w:val="24"/>
          <w:szCs w:val="24"/>
        </w:rPr>
        <w:t>.</w:t>
      </w:r>
    </w:p>
    <w:p w14:paraId="054640D4" w14:textId="77777777" w:rsidR="006D0F85" w:rsidRPr="00307A53" w:rsidRDefault="006D0F85" w:rsidP="00307A53">
      <w:pPr>
        <w:autoSpaceDE w:val="0"/>
        <w:autoSpaceDN w:val="0"/>
        <w:adjustRightInd w:val="0"/>
        <w:spacing w:after="0" w:line="240" w:lineRule="auto"/>
        <w:jc w:val="both"/>
        <w:rPr>
          <w:rFonts w:cstheme="minorHAnsi"/>
          <w:b/>
          <w:sz w:val="24"/>
          <w:szCs w:val="24"/>
        </w:rPr>
      </w:pPr>
    </w:p>
    <w:p w14:paraId="7331C9DF" w14:textId="77777777" w:rsidR="006D0F85" w:rsidRPr="00307A53" w:rsidRDefault="006D0F85" w:rsidP="00307A53">
      <w:pPr>
        <w:tabs>
          <w:tab w:val="left" w:pos="2265"/>
        </w:tabs>
        <w:spacing w:after="0" w:line="240" w:lineRule="auto"/>
        <w:jc w:val="both"/>
        <w:rPr>
          <w:rFonts w:eastAsia="Times New Roman" w:cstheme="minorHAnsi"/>
          <w:sz w:val="24"/>
          <w:szCs w:val="24"/>
          <w:lang w:eastAsia="es-ES"/>
        </w:rPr>
      </w:pPr>
      <w:r w:rsidRPr="00307A53">
        <w:rPr>
          <w:rFonts w:eastAsia="Times New Roman" w:cstheme="minorHAnsi"/>
          <w:sz w:val="24"/>
          <w:szCs w:val="24"/>
          <w:lang w:eastAsia="es-ES"/>
        </w:rPr>
        <w:t xml:space="preserve">El ahorro de agua es, sin duda, uno de los grandes retos del regadío, desafío al que ya se ha respondido con un ingente esfuerzo de modernización de infraestructuras. Sin embargo, la amenaza del cambio climático y la posibilidad de que los ciclos hídricos adversos se repitan con más frecuencia e </w:t>
      </w:r>
      <w:proofErr w:type="gramStart"/>
      <w:r w:rsidRPr="00307A53">
        <w:rPr>
          <w:rFonts w:eastAsia="Times New Roman" w:cstheme="minorHAnsi"/>
          <w:sz w:val="24"/>
          <w:szCs w:val="24"/>
          <w:lang w:eastAsia="es-ES"/>
        </w:rPr>
        <w:t>intensidad,</w:t>
      </w:r>
      <w:proofErr w:type="gramEnd"/>
      <w:r w:rsidRPr="00307A53">
        <w:rPr>
          <w:rFonts w:eastAsia="Times New Roman" w:cstheme="minorHAnsi"/>
          <w:sz w:val="24"/>
          <w:szCs w:val="24"/>
          <w:lang w:eastAsia="es-ES"/>
        </w:rPr>
        <w:t xml:space="preserve"> pone a la agricultura ante la necesidad de buscar nuevas soluciones para seguir mejorando la eficiencia hídrica. En este contexto, las tecnologías de recogida y análisis de datos, inteligencia de máquina y análisis geoespacial aparecen como una oportunidad de mejora para el regadío. Sin embargo, en el despliegue de estas tecnologías, la viabilidad económica es un factor fundamental, y para muchas explotaciones, sobre todo de gran tamaño, una alta inversión en sensores resulta un obstáculo limitante, no solo por el coste de los equipos, sino también debido al esfuerzo adicional que requiere su mantenimiento.</w:t>
      </w:r>
    </w:p>
    <w:p w14:paraId="581A6D71" w14:textId="77777777" w:rsidR="006D0F85" w:rsidRPr="00307A53" w:rsidRDefault="006D0F85" w:rsidP="00307A53">
      <w:pPr>
        <w:tabs>
          <w:tab w:val="left" w:pos="2265"/>
        </w:tabs>
        <w:spacing w:after="0" w:line="240" w:lineRule="auto"/>
        <w:jc w:val="both"/>
        <w:rPr>
          <w:rFonts w:eastAsia="Times New Roman" w:cstheme="minorHAnsi"/>
          <w:sz w:val="24"/>
          <w:szCs w:val="24"/>
          <w:lang w:eastAsia="es-ES"/>
        </w:rPr>
      </w:pPr>
    </w:p>
    <w:p w14:paraId="08E56497" w14:textId="38B7296A" w:rsidR="006D0F85" w:rsidRPr="00307A53" w:rsidRDefault="00644871" w:rsidP="00644871">
      <w:pPr>
        <w:autoSpaceDE w:val="0"/>
        <w:autoSpaceDN w:val="0"/>
        <w:adjustRightInd w:val="0"/>
        <w:spacing w:after="0" w:line="240" w:lineRule="auto"/>
        <w:jc w:val="both"/>
        <w:rPr>
          <w:rFonts w:cstheme="minorHAnsi"/>
          <w:sz w:val="24"/>
          <w:szCs w:val="24"/>
        </w:rPr>
      </w:pPr>
      <w:r>
        <w:rPr>
          <w:rFonts w:eastAsia="Times New Roman" w:cstheme="minorHAnsi"/>
          <w:sz w:val="24"/>
          <w:szCs w:val="24"/>
          <w:lang w:eastAsia="es-ES"/>
        </w:rPr>
        <w:t>E</w:t>
      </w:r>
      <w:r w:rsidR="006D0F85" w:rsidRPr="00307A53">
        <w:rPr>
          <w:rFonts w:cstheme="minorHAnsi"/>
          <w:sz w:val="24"/>
          <w:szCs w:val="24"/>
        </w:rPr>
        <w:t xml:space="preserve">l proyecto </w:t>
      </w:r>
      <w:proofErr w:type="spellStart"/>
      <w:r w:rsidR="006D0F85" w:rsidRPr="00307A53">
        <w:rPr>
          <w:rFonts w:cstheme="minorHAnsi"/>
          <w:sz w:val="24"/>
          <w:szCs w:val="24"/>
        </w:rPr>
        <w:t>AquaIA</w:t>
      </w:r>
      <w:proofErr w:type="spellEnd"/>
      <w:r w:rsidR="006D0F85" w:rsidRPr="00307A53">
        <w:rPr>
          <w:rFonts w:cstheme="minorHAnsi"/>
          <w:sz w:val="24"/>
          <w:szCs w:val="24"/>
        </w:rPr>
        <w:t>, cofinanciado por la Junta de Andalucía y la Unión Europea a través del Programa de Desarrollo Rural de Andalucía 2014-2022 (FEADER)</w:t>
      </w:r>
      <w:r>
        <w:rPr>
          <w:rFonts w:cstheme="minorHAnsi"/>
          <w:sz w:val="24"/>
          <w:szCs w:val="24"/>
        </w:rPr>
        <w:t>, ha demostrado que la IA puede ayudar</w:t>
      </w:r>
      <w:r w:rsidR="006D0F85" w:rsidRPr="00307A53">
        <w:rPr>
          <w:rFonts w:cstheme="minorHAnsi"/>
          <w:sz w:val="24"/>
          <w:szCs w:val="24"/>
        </w:rPr>
        <w:t xml:space="preserve"> </w:t>
      </w:r>
      <w:r>
        <w:rPr>
          <w:rFonts w:cstheme="minorHAnsi"/>
          <w:sz w:val="24"/>
          <w:szCs w:val="24"/>
        </w:rPr>
        <w:t xml:space="preserve">a </w:t>
      </w:r>
      <w:r w:rsidR="006D0F85" w:rsidRPr="00307A53">
        <w:rPr>
          <w:rFonts w:cstheme="minorHAnsi"/>
          <w:sz w:val="24"/>
          <w:szCs w:val="24"/>
        </w:rPr>
        <w:t>promover la eficiencia hídrica en el riego de explotaciones de producción ecológica en situaciones de déficit dotacional.</w:t>
      </w:r>
      <w:r>
        <w:rPr>
          <w:rFonts w:cstheme="minorHAnsi"/>
          <w:sz w:val="24"/>
          <w:szCs w:val="24"/>
        </w:rPr>
        <w:t xml:space="preserve"> Y sobre todo ha demostrado que puede hacerlo sin una alta inversión en sensores físicos, con </w:t>
      </w:r>
      <w:r w:rsidR="006D0F85" w:rsidRPr="00307A53">
        <w:rPr>
          <w:rFonts w:eastAsia="Times New Roman" w:cstheme="minorHAnsi"/>
          <w:sz w:val="24"/>
          <w:szCs w:val="24"/>
          <w:lang w:eastAsia="es-ES"/>
        </w:rPr>
        <w:t xml:space="preserve">sensores </w:t>
      </w:r>
      <w:r>
        <w:rPr>
          <w:rFonts w:eastAsia="Times New Roman" w:cstheme="minorHAnsi"/>
          <w:sz w:val="24"/>
          <w:szCs w:val="24"/>
          <w:lang w:eastAsia="es-ES"/>
        </w:rPr>
        <w:t>virtuales que permiten</w:t>
      </w:r>
      <w:r w:rsidR="006D0F85" w:rsidRPr="00307A53">
        <w:rPr>
          <w:rFonts w:eastAsia="Times New Roman" w:cstheme="minorHAnsi"/>
          <w:sz w:val="24"/>
          <w:szCs w:val="24"/>
          <w:lang w:eastAsia="es-ES"/>
        </w:rPr>
        <w:t xml:space="preserve"> interferir datos de unas parcelas a otras para la optimización de la programación de riego en explotaciones de producción ecológica. Dicho de otra forma, la solución creada por </w:t>
      </w:r>
      <w:proofErr w:type="spellStart"/>
      <w:r w:rsidR="006D0F85" w:rsidRPr="00307A53">
        <w:rPr>
          <w:rFonts w:eastAsia="Times New Roman" w:cstheme="minorHAnsi"/>
          <w:sz w:val="24"/>
          <w:szCs w:val="24"/>
          <w:lang w:eastAsia="es-ES"/>
        </w:rPr>
        <w:t>AquaIA</w:t>
      </w:r>
      <w:proofErr w:type="spellEnd"/>
      <w:r w:rsidR="006D0F85" w:rsidRPr="00307A53">
        <w:rPr>
          <w:rFonts w:eastAsia="Times New Roman" w:cstheme="minorHAnsi"/>
          <w:sz w:val="24"/>
          <w:szCs w:val="24"/>
          <w:lang w:eastAsia="es-ES"/>
        </w:rPr>
        <w:t xml:space="preserve">, basada además en tecnologías ya existentes, </w:t>
      </w:r>
      <w:r>
        <w:rPr>
          <w:rFonts w:eastAsia="Times New Roman" w:cstheme="minorHAnsi"/>
          <w:sz w:val="24"/>
          <w:szCs w:val="24"/>
          <w:lang w:eastAsia="es-ES"/>
        </w:rPr>
        <w:t xml:space="preserve">ha demostrado que la inteligencia </w:t>
      </w:r>
      <w:r w:rsidR="006D0F85" w:rsidRPr="00307A53">
        <w:rPr>
          <w:rFonts w:eastAsia="Times New Roman" w:cstheme="minorHAnsi"/>
          <w:sz w:val="24"/>
          <w:szCs w:val="24"/>
          <w:lang w:eastAsia="es-ES"/>
        </w:rPr>
        <w:t>relacionad</w:t>
      </w:r>
      <w:r>
        <w:rPr>
          <w:rFonts w:eastAsia="Times New Roman" w:cstheme="minorHAnsi"/>
          <w:sz w:val="24"/>
          <w:szCs w:val="24"/>
          <w:lang w:eastAsia="es-ES"/>
        </w:rPr>
        <w:t xml:space="preserve">a con la monitorización </w:t>
      </w:r>
      <w:proofErr w:type="spellStart"/>
      <w:r>
        <w:rPr>
          <w:rFonts w:eastAsia="Times New Roman" w:cstheme="minorHAnsi"/>
          <w:sz w:val="24"/>
          <w:szCs w:val="24"/>
          <w:lang w:eastAsia="es-ES"/>
        </w:rPr>
        <w:t>in-situ</w:t>
      </w:r>
      <w:proofErr w:type="spellEnd"/>
      <w:r w:rsidR="006D0F85" w:rsidRPr="00307A53">
        <w:rPr>
          <w:rFonts w:eastAsia="Times New Roman" w:cstheme="minorHAnsi"/>
          <w:sz w:val="24"/>
          <w:szCs w:val="24"/>
          <w:lang w:eastAsia="es-ES"/>
        </w:rPr>
        <w:t xml:space="preserve"> </w:t>
      </w:r>
      <w:r>
        <w:rPr>
          <w:rFonts w:eastAsia="Times New Roman" w:cstheme="minorHAnsi"/>
          <w:sz w:val="24"/>
          <w:szCs w:val="24"/>
          <w:lang w:eastAsia="es-ES"/>
        </w:rPr>
        <w:t>puede</w:t>
      </w:r>
      <w:r w:rsidR="006D0F85" w:rsidRPr="00307A53">
        <w:rPr>
          <w:rFonts w:eastAsia="Times New Roman" w:cstheme="minorHAnsi"/>
          <w:sz w:val="24"/>
          <w:szCs w:val="24"/>
          <w:lang w:eastAsia="es-ES"/>
        </w:rPr>
        <w:t xml:space="preserve"> ser extrapolada a otras zonas sin </w:t>
      </w:r>
      <w:proofErr w:type="spellStart"/>
      <w:r w:rsidR="006D0F85" w:rsidRPr="00307A53">
        <w:rPr>
          <w:rFonts w:eastAsia="Times New Roman" w:cstheme="minorHAnsi"/>
          <w:sz w:val="24"/>
          <w:szCs w:val="24"/>
          <w:lang w:eastAsia="es-ES"/>
        </w:rPr>
        <w:t>sensorización</w:t>
      </w:r>
      <w:proofErr w:type="spellEnd"/>
      <w:r w:rsidR="006D0F85" w:rsidRPr="00307A53">
        <w:rPr>
          <w:rFonts w:eastAsia="Times New Roman" w:cstheme="minorHAnsi"/>
          <w:sz w:val="24"/>
          <w:szCs w:val="24"/>
          <w:lang w:eastAsia="es-ES"/>
        </w:rPr>
        <w:t xml:space="preserve"> física. </w:t>
      </w:r>
    </w:p>
    <w:p w14:paraId="6350B4D8" w14:textId="77777777" w:rsidR="006D0F85" w:rsidRPr="00307A53" w:rsidRDefault="006D0F85" w:rsidP="00307A53">
      <w:pPr>
        <w:tabs>
          <w:tab w:val="left" w:pos="2265"/>
        </w:tabs>
        <w:spacing w:after="0" w:line="240" w:lineRule="auto"/>
        <w:jc w:val="both"/>
        <w:rPr>
          <w:rFonts w:eastAsia="Times New Roman" w:cstheme="minorHAnsi"/>
          <w:sz w:val="24"/>
          <w:szCs w:val="24"/>
          <w:lang w:eastAsia="es-ES"/>
        </w:rPr>
      </w:pPr>
    </w:p>
    <w:p w14:paraId="0CC98C5B" w14:textId="2424BDF0" w:rsidR="006D0F85" w:rsidRDefault="006D0F85" w:rsidP="00307A53">
      <w:pPr>
        <w:spacing w:after="0" w:line="240" w:lineRule="auto"/>
        <w:jc w:val="both"/>
        <w:rPr>
          <w:rFonts w:cstheme="minorHAnsi"/>
          <w:bCs/>
          <w:color w:val="181818"/>
          <w:sz w:val="24"/>
          <w:szCs w:val="24"/>
        </w:rPr>
      </w:pPr>
      <w:r w:rsidRPr="00307A53">
        <w:rPr>
          <w:rFonts w:cstheme="minorHAnsi"/>
          <w:sz w:val="24"/>
          <w:szCs w:val="24"/>
        </w:rPr>
        <w:t xml:space="preserve">Los ensayos se </w:t>
      </w:r>
      <w:r w:rsidR="00644871">
        <w:rPr>
          <w:rFonts w:cstheme="minorHAnsi"/>
          <w:sz w:val="24"/>
          <w:szCs w:val="24"/>
        </w:rPr>
        <w:t>han realizado</w:t>
      </w:r>
      <w:r w:rsidRPr="00307A53">
        <w:rPr>
          <w:rFonts w:cstheme="minorHAnsi"/>
          <w:sz w:val="24"/>
          <w:szCs w:val="24"/>
        </w:rPr>
        <w:t xml:space="preserve"> en la huerta </w:t>
      </w:r>
      <w:proofErr w:type="spellStart"/>
      <w:r w:rsidRPr="00307A53">
        <w:rPr>
          <w:rFonts w:cstheme="minorHAnsi"/>
          <w:sz w:val="24"/>
          <w:szCs w:val="24"/>
        </w:rPr>
        <w:t>BioAlverde</w:t>
      </w:r>
      <w:proofErr w:type="spellEnd"/>
      <w:r w:rsidRPr="00307A53">
        <w:rPr>
          <w:rFonts w:cstheme="minorHAnsi"/>
          <w:sz w:val="24"/>
          <w:szCs w:val="24"/>
        </w:rPr>
        <w:t>, empresa sin ánimo de lucro y de inserción</w:t>
      </w:r>
      <w:r w:rsidR="007D5DF1">
        <w:rPr>
          <w:rFonts w:cstheme="minorHAnsi"/>
          <w:sz w:val="24"/>
          <w:szCs w:val="24"/>
        </w:rPr>
        <w:t xml:space="preserve"> social</w:t>
      </w:r>
      <w:r w:rsidRPr="00307A53">
        <w:rPr>
          <w:rFonts w:cstheme="minorHAnsi"/>
          <w:sz w:val="24"/>
          <w:szCs w:val="24"/>
        </w:rPr>
        <w:t xml:space="preserve"> impulsada por Cáritas, sobre dos policultivos ecológicos de tomate-cebolla y lechuga-cebolla. ¿Por qué en agricultura ecológica? Porque n</w:t>
      </w:r>
      <w:r w:rsidRPr="00307A53">
        <w:rPr>
          <w:rFonts w:cstheme="minorHAnsi"/>
          <w:color w:val="181818"/>
          <w:sz w:val="24"/>
          <w:szCs w:val="24"/>
        </w:rPr>
        <w:t xml:space="preserve">o existen, tampoco en la actualidad, aplicaciones que permitan de manera sencilla el </w:t>
      </w:r>
      <w:r w:rsidRPr="00307A53">
        <w:rPr>
          <w:rFonts w:cstheme="minorHAnsi"/>
          <w:bCs/>
          <w:color w:val="181818"/>
          <w:sz w:val="24"/>
          <w:szCs w:val="24"/>
        </w:rPr>
        <w:t>cálculo de las necesidades de riego de un determinado cultivo hortícola</w:t>
      </w:r>
      <w:r w:rsidRPr="00307A53">
        <w:rPr>
          <w:rFonts w:cstheme="minorHAnsi"/>
          <w:color w:val="181818"/>
          <w:sz w:val="24"/>
          <w:szCs w:val="24"/>
        </w:rPr>
        <w:t xml:space="preserve">, menos aún en cultivos asociados o </w:t>
      </w:r>
      <w:r w:rsidRPr="00307A53">
        <w:rPr>
          <w:rFonts w:cstheme="minorHAnsi"/>
          <w:bCs/>
          <w:color w:val="181818"/>
          <w:sz w:val="24"/>
          <w:szCs w:val="24"/>
        </w:rPr>
        <w:t xml:space="preserve">policultivos, </w:t>
      </w:r>
      <w:r w:rsidRPr="00307A53">
        <w:rPr>
          <w:rFonts w:cstheme="minorHAnsi"/>
          <w:color w:val="181818"/>
          <w:sz w:val="24"/>
          <w:szCs w:val="24"/>
        </w:rPr>
        <w:t xml:space="preserve">y que además sean capaces de proponer </w:t>
      </w:r>
      <w:r w:rsidRPr="00307A53">
        <w:rPr>
          <w:rFonts w:cstheme="minorHAnsi"/>
          <w:bCs/>
          <w:color w:val="181818"/>
          <w:sz w:val="24"/>
          <w:szCs w:val="24"/>
        </w:rPr>
        <w:t>programaciones de riego eficientes, tanto con dotación deficitaria como óptima, pues la ‘compleja' agricultura</w:t>
      </w:r>
      <w:r w:rsidR="00251B44">
        <w:rPr>
          <w:rFonts w:cstheme="minorHAnsi"/>
          <w:bCs/>
          <w:color w:val="181818"/>
          <w:sz w:val="24"/>
          <w:szCs w:val="24"/>
        </w:rPr>
        <w:t xml:space="preserve"> </w:t>
      </w:r>
      <w:r w:rsidRPr="00307A53">
        <w:rPr>
          <w:rFonts w:cstheme="minorHAnsi"/>
          <w:bCs/>
          <w:color w:val="181818"/>
          <w:sz w:val="24"/>
          <w:szCs w:val="24"/>
        </w:rPr>
        <w:t>ecológica se desarrolla con ambas situaciones.</w:t>
      </w:r>
    </w:p>
    <w:p w14:paraId="268C8EF1" w14:textId="77777777" w:rsidR="00251B44" w:rsidRPr="00307A53" w:rsidRDefault="00251B44" w:rsidP="00307A53">
      <w:pPr>
        <w:spacing w:after="0" w:line="240" w:lineRule="auto"/>
        <w:jc w:val="both"/>
        <w:rPr>
          <w:rFonts w:cstheme="minorHAnsi"/>
          <w:bCs/>
          <w:color w:val="181818"/>
          <w:sz w:val="24"/>
          <w:szCs w:val="24"/>
        </w:rPr>
      </w:pPr>
    </w:p>
    <w:p w14:paraId="2B1A3F20" w14:textId="77777777" w:rsidR="006D0F85" w:rsidRPr="00307A53" w:rsidRDefault="006D0F85" w:rsidP="00307A53">
      <w:pPr>
        <w:spacing w:after="0" w:line="240" w:lineRule="auto"/>
        <w:jc w:val="both"/>
        <w:rPr>
          <w:rFonts w:cstheme="minorHAnsi"/>
          <w:bCs/>
          <w:sz w:val="24"/>
          <w:szCs w:val="24"/>
        </w:rPr>
      </w:pPr>
      <w:r w:rsidRPr="00307A53">
        <w:rPr>
          <w:rFonts w:cstheme="minorHAnsi"/>
          <w:color w:val="181818"/>
          <w:sz w:val="24"/>
          <w:szCs w:val="24"/>
        </w:rPr>
        <w:t xml:space="preserve">El </w:t>
      </w:r>
      <w:r w:rsidRPr="00307A53">
        <w:rPr>
          <w:rFonts w:cstheme="minorHAnsi"/>
          <w:bCs/>
          <w:color w:val="181818"/>
          <w:sz w:val="24"/>
          <w:szCs w:val="24"/>
        </w:rPr>
        <w:t xml:space="preserve">desarrollo de sistemas que puedan adaptarse a las necesidades específicas de cada tipo de cultivo y, al mismo tiempo, faciliten la gestión del riego en policultivos, </w:t>
      </w:r>
      <w:r w:rsidR="00644871">
        <w:rPr>
          <w:rFonts w:cstheme="minorHAnsi"/>
          <w:bCs/>
          <w:color w:val="181818"/>
          <w:sz w:val="24"/>
          <w:szCs w:val="24"/>
        </w:rPr>
        <w:t>puede suponer</w:t>
      </w:r>
      <w:r w:rsidRPr="00307A53">
        <w:rPr>
          <w:rFonts w:cstheme="minorHAnsi"/>
          <w:bCs/>
          <w:color w:val="181818"/>
          <w:sz w:val="24"/>
          <w:szCs w:val="24"/>
        </w:rPr>
        <w:t xml:space="preserve"> un gran salto cualitativo. Y a </w:t>
      </w:r>
      <w:r w:rsidRPr="00307A53">
        <w:rPr>
          <w:rFonts w:cstheme="minorHAnsi"/>
          <w:color w:val="181818"/>
          <w:sz w:val="24"/>
          <w:szCs w:val="24"/>
        </w:rPr>
        <w:t>este reto</w:t>
      </w:r>
      <w:r w:rsidR="00644871">
        <w:rPr>
          <w:rFonts w:cstheme="minorHAnsi"/>
          <w:color w:val="181818"/>
          <w:sz w:val="24"/>
          <w:szCs w:val="24"/>
        </w:rPr>
        <w:t xml:space="preserve"> ha respondido</w:t>
      </w:r>
      <w:r w:rsidRPr="00307A53">
        <w:rPr>
          <w:rFonts w:cstheme="minorHAnsi"/>
          <w:color w:val="181818"/>
          <w:sz w:val="24"/>
          <w:szCs w:val="24"/>
        </w:rPr>
        <w:t xml:space="preserve"> también </w:t>
      </w:r>
      <w:proofErr w:type="spellStart"/>
      <w:r w:rsidRPr="00307A53">
        <w:rPr>
          <w:rFonts w:cstheme="minorHAnsi"/>
          <w:color w:val="181818"/>
          <w:sz w:val="24"/>
          <w:szCs w:val="24"/>
        </w:rPr>
        <w:t>AquaIA</w:t>
      </w:r>
      <w:proofErr w:type="spellEnd"/>
      <w:r w:rsidRPr="00307A53">
        <w:rPr>
          <w:rFonts w:cstheme="minorHAnsi"/>
          <w:color w:val="181818"/>
          <w:sz w:val="24"/>
          <w:szCs w:val="24"/>
        </w:rPr>
        <w:t xml:space="preserve">, que plantea el desarrollo de un sistema ciber-físico capaz de integrar la </w:t>
      </w:r>
      <w:r w:rsidRPr="00307A53">
        <w:rPr>
          <w:rFonts w:cstheme="minorHAnsi"/>
          <w:bCs/>
          <w:color w:val="181818"/>
          <w:sz w:val="24"/>
          <w:szCs w:val="24"/>
        </w:rPr>
        <w:t>complejidad de un agroecosistema: suelo, clima, y cultivos asociados</w:t>
      </w:r>
      <w:r w:rsidRPr="00307A53">
        <w:rPr>
          <w:rFonts w:cstheme="minorHAnsi"/>
          <w:color w:val="181818"/>
          <w:sz w:val="24"/>
          <w:szCs w:val="24"/>
        </w:rPr>
        <w:t xml:space="preserve">, junto a la gran biodiversidad de especies y variedades que suelen emplearse en </w:t>
      </w:r>
      <w:r w:rsidRPr="00307A53">
        <w:rPr>
          <w:rFonts w:cstheme="minorHAnsi"/>
          <w:bCs/>
          <w:color w:val="181818"/>
          <w:sz w:val="24"/>
          <w:szCs w:val="24"/>
        </w:rPr>
        <w:t>huertas ecológicas.</w:t>
      </w:r>
    </w:p>
    <w:p w14:paraId="28F46DB7" w14:textId="77777777" w:rsidR="006D0F85" w:rsidRPr="00307A53" w:rsidRDefault="006D0F85" w:rsidP="00307A53">
      <w:pPr>
        <w:tabs>
          <w:tab w:val="left" w:pos="3112"/>
        </w:tabs>
        <w:spacing w:after="0" w:line="240" w:lineRule="auto"/>
        <w:jc w:val="both"/>
        <w:rPr>
          <w:rFonts w:cstheme="minorHAnsi"/>
          <w:b/>
          <w:sz w:val="24"/>
          <w:szCs w:val="24"/>
        </w:rPr>
      </w:pPr>
      <w:r w:rsidRPr="00307A53">
        <w:rPr>
          <w:rFonts w:cstheme="minorHAnsi"/>
          <w:b/>
          <w:sz w:val="24"/>
          <w:szCs w:val="24"/>
        </w:rPr>
        <w:tab/>
      </w:r>
    </w:p>
    <w:p w14:paraId="4421DD12" w14:textId="77777777" w:rsidR="00834BA2" w:rsidRDefault="00834BA2" w:rsidP="00307A53">
      <w:pPr>
        <w:spacing w:after="0" w:line="240" w:lineRule="auto"/>
        <w:rPr>
          <w:rFonts w:cstheme="minorHAnsi"/>
          <w:sz w:val="24"/>
          <w:szCs w:val="24"/>
        </w:rPr>
      </w:pPr>
    </w:p>
    <w:p w14:paraId="5DC167E6" w14:textId="77777777" w:rsidR="00251B44" w:rsidRPr="00251B44" w:rsidRDefault="00251B44" w:rsidP="00307A53">
      <w:pPr>
        <w:spacing w:after="0" w:line="240" w:lineRule="auto"/>
        <w:rPr>
          <w:rFonts w:cstheme="minorHAnsi"/>
          <w:b/>
          <w:bCs/>
          <w:sz w:val="24"/>
          <w:szCs w:val="24"/>
        </w:rPr>
      </w:pPr>
      <w:r w:rsidRPr="00251B44">
        <w:rPr>
          <w:rFonts w:cstheme="minorHAnsi"/>
          <w:b/>
          <w:bCs/>
          <w:sz w:val="24"/>
          <w:szCs w:val="24"/>
        </w:rPr>
        <w:t xml:space="preserve">Para más información: </w:t>
      </w:r>
    </w:p>
    <w:p w14:paraId="07674C39" w14:textId="3E432277" w:rsidR="00251B44" w:rsidRDefault="00251B44" w:rsidP="00307A53">
      <w:pPr>
        <w:spacing w:after="0" w:line="240" w:lineRule="auto"/>
        <w:rPr>
          <w:rFonts w:cstheme="minorHAnsi"/>
          <w:sz w:val="24"/>
          <w:szCs w:val="24"/>
        </w:rPr>
      </w:pPr>
      <w:r>
        <w:rPr>
          <w:rFonts w:cstheme="minorHAnsi"/>
          <w:sz w:val="24"/>
          <w:szCs w:val="24"/>
        </w:rPr>
        <w:t xml:space="preserve">Gabinete de prensa de </w:t>
      </w:r>
      <w:proofErr w:type="spellStart"/>
      <w:r>
        <w:rPr>
          <w:rFonts w:cstheme="minorHAnsi"/>
          <w:sz w:val="24"/>
          <w:szCs w:val="24"/>
        </w:rPr>
        <w:t>Feragua</w:t>
      </w:r>
      <w:proofErr w:type="spellEnd"/>
    </w:p>
    <w:p w14:paraId="5DF23047" w14:textId="38EA3EED" w:rsidR="00251B44" w:rsidRPr="00307A53" w:rsidRDefault="00251B44" w:rsidP="00307A53">
      <w:pPr>
        <w:spacing w:after="0" w:line="240" w:lineRule="auto"/>
        <w:rPr>
          <w:rFonts w:cstheme="minorHAnsi"/>
          <w:sz w:val="24"/>
          <w:szCs w:val="24"/>
        </w:rPr>
      </w:pPr>
      <w:r>
        <w:rPr>
          <w:rFonts w:cstheme="minorHAnsi"/>
          <w:sz w:val="24"/>
          <w:szCs w:val="24"/>
        </w:rPr>
        <w:t xml:space="preserve">Jesús Herrera </w:t>
      </w:r>
      <w:r w:rsidRPr="00251B44">
        <w:rPr>
          <w:rFonts w:cstheme="minorHAnsi"/>
          <w:sz w:val="24"/>
          <w:szCs w:val="24"/>
        </w:rPr>
        <w:t>6</w:t>
      </w:r>
      <w:r>
        <w:rPr>
          <w:rFonts w:cstheme="minorHAnsi"/>
          <w:sz w:val="24"/>
          <w:szCs w:val="24"/>
        </w:rPr>
        <w:t>25</w:t>
      </w:r>
      <w:r w:rsidRPr="00251B44">
        <w:rPr>
          <w:rFonts w:cstheme="minorHAnsi"/>
          <w:sz w:val="24"/>
          <w:szCs w:val="24"/>
        </w:rPr>
        <w:t xml:space="preserve"> </w:t>
      </w:r>
      <w:r>
        <w:rPr>
          <w:rFonts w:cstheme="minorHAnsi"/>
          <w:sz w:val="24"/>
          <w:szCs w:val="24"/>
        </w:rPr>
        <w:t xml:space="preserve">87 27 80 </w:t>
      </w:r>
    </w:p>
    <w:sectPr w:rsidR="00251B44" w:rsidRPr="00307A5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D0F85"/>
    <w:rsid w:val="00034A53"/>
    <w:rsid w:val="00086EA1"/>
    <w:rsid w:val="000B4ADE"/>
    <w:rsid w:val="000E44BF"/>
    <w:rsid w:val="00114F0C"/>
    <w:rsid w:val="002062F6"/>
    <w:rsid w:val="002172D9"/>
    <w:rsid w:val="00221DBC"/>
    <w:rsid w:val="00241E73"/>
    <w:rsid w:val="00244E9E"/>
    <w:rsid w:val="00251B44"/>
    <w:rsid w:val="002F6ACF"/>
    <w:rsid w:val="00307A53"/>
    <w:rsid w:val="003E3F99"/>
    <w:rsid w:val="003E5A1B"/>
    <w:rsid w:val="00400DCA"/>
    <w:rsid w:val="00404B77"/>
    <w:rsid w:val="00440097"/>
    <w:rsid w:val="004865AA"/>
    <w:rsid w:val="004B0B48"/>
    <w:rsid w:val="004D2372"/>
    <w:rsid w:val="004E2928"/>
    <w:rsid w:val="00597D50"/>
    <w:rsid w:val="005D5A92"/>
    <w:rsid w:val="00620F4E"/>
    <w:rsid w:val="00644871"/>
    <w:rsid w:val="006D0F85"/>
    <w:rsid w:val="00714DE8"/>
    <w:rsid w:val="00735194"/>
    <w:rsid w:val="00743864"/>
    <w:rsid w:val="00782879"/>
    <w:rsid w:val="007844E2"/>
    <w:rsid w:val="007D5DF1"/>
    <w:rsid w:val="00834BA2"/>
    <w:rsid w:val="008E19FB"/>
    <w:rsid w:val="00921F2E"/>
    <w:rsid w:val="0093351C"/>
    <w:rsid w:val="00953D02"/>
    <w:rsid w:val="009A087F"/>
    <w:rsid w:val="009D5AB2"/>
    <w:rsid w:val="009E4BAE"/>
    <w:rsid w:val="00A1616F"/>
    <w:rsid w:val="00B46EB9"/>
    <w:rsid w:val="00B649B1"/>
    <w:rsid w:val="00BC091A"/>
    <w:rsid w:val="00CC00B8"/>
    <w:rsid w:val="00D06752"/>
    <w:rsid w:val="00D14D30"/>
    <w:rsid w:val="00DF0DD4"/>
    <w:rsid w:val="00E62273"/>
    <w:rsid w:val="00F90060"/>
    <w:rsid w:val="00FA44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6192"/>
  <w15:docId w15:val="{E691FC6B-895B-4BEB-9FD2-4CAA602A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D0F85"/>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756</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8</cp:revision>
  <cp:lastPrinted>2025-05-28T07:06:00Z</cp:lastPrinted>
  <dcterms:created xsi:type="dcterms:W3CDTF">2025-05-27T07:30:00Z</dcterms:created>
  <dcterms:modified xsi:type="dcterms:W3CDTF">2025-05-28T07:07:00Z</dcterms:modified>
</cp:coreProperties>
</file>