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E41D" w14:textId="77777777" w:rsidR="00171D33" w:rsidRDefault="00171D33" w:rsidP="00171D33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>
        <w:rPr>
          <w:noProof/>
          <w:sz w:val="24"/>
          <w:lang w:eastAsia="es-ES"/>
        </w:rPr>
        <w:drawing>
          <wp:inline distT="0" distB="0" distL="0" distR="0" wp14:anchorId="0CDD1C2D" wp14:editId="198EB1C2">
            <wp:extent cx="2286000" cy="1277676"/>
            <wp:effectExtent l="0" t="0" r="0" b="0"/>
            <wp:docPr id="1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con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671" cy="12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9EC99" w14:textId="77777777" w:rsidR="00171D33" w:rsidRDefault="00171D33" w:rsidP="00171D33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</w:p>
    <w:p w14:paraId="22E68F09" w14:textId="77777777" w:rsidR="00171D33" w:rsidRPr="00171D33" w:rsidRDefault="00171D33" w:rsidP="00171D33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171D3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NOTA DE PRENSA</w:t>
      </w:r>
    </w:p>
    <w:p w14:paraId="020A23DD" w14:textId="77777777" w:rsidR="00171D33" w:rsidRDefault="00171D33" w:rsidP="0017554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0E95B9" w14:textId="517AE591" w:rsidR="00971E88" w:rsidRPr="00B84185" w:rsidRDefault="00B84185" w:rsidP="00171D33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6"/>
          <w:szCs w:val="26"/>
          <w:u w:val="single"/>
        </w:rPr>
      </w:pPr>
      <w:r w:rsidRPr="00B84185">
        <w:rPr>
          <w:rFonts w:asciiTheme="minorHAnsi" w:hAnsiTheme="minorHAnsi" w:cstheme="minorHAnsi"/>
          <w:b/>
          <w:color w:val="auto"/>
          <w:sz w:val="26"/>
          <w:szCs w:val="26"/>
          <w:u w:val="single"/>
        </w:rPr>
        <w:t>Reunión con la consejera Catalina García</w:t>
      </w:r>
    </w:p>
    <w:p w14:paraId="7C92BC23" w14:textId="77777777" w:rsidR="00175543" w:rsidRPr="00171D33" w:rsidRDefault="00175543" w:rsidP="00171D33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BA24BED" w14:textId="7EF4216C" w:rsidR="00B84185" w:rsidRPr="00B84185" w:rsidRDefault="00B84185" w:rsidP="00171D33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</w:rPr>
      </w:pPr>
      <w:r w:rsidRPr="00B84185">
        <w:rPr>
          <w:rFonts w:asciiTheme="minorHAnsi" w:hAnsiTheme="minorHAnsi" w:cstheme="minorHAnsi"/>
          <w:b/>
          <w:color w:val="auto"/>
          <w:sz w:val="28"/>
          <w:szCs w:val="28"/>
        </w:rPr>
        <w:t xml:space="preserve">LA CONSEJERÍA DE SALUD Y CONSUMO Y EL CACOF SE REÚNEN PARA AVANZAR EN PROYECTOS DE COLABORACIÓN E </w:t>
      </w:r>
      <w:r w:rsidRPr="00B84185">
        <w:rPr>
          <w:rFonts w:asciiTheme="minorHAnsi" w:hAnsiTheme="minorHAnsi" w:cstheme="minorHAnsi"/>
          <w:b/>
          <w:color w:val="auto"/>
          <w:sz w:val="28"/>
          <w:szCs w:val="28"/>
          <w:shd w:val="clear" w:color="auto" w:fill="FFFFFF"/>
        </w:rPr>
        <w:t>INTERÉS COMÚN EN FAVOR DE LA SALUD DE LOS PACIENTES ANDALUCES</w:t>
      </w:r>
    </w:p>
    <w:p w14:paraId="3E499F43" w14:textId="77777777" w:rsidR="00B84185" w:rsidRDefault="00B84185" w:rsidP="00171D33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B66215C" w14:textId="4FCEFBF9" w:rsidR="00A146FE" w:rsidRPr="00A146FE" w:rsidRDefault="00A146FE" w:rsidP="00A146F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shd w:val="clear" w:color="auto" w:fill="FFFFFF"/>
        </w:rPr>
      </w:pPr>
      <w:r w:rsidRPr="00A146FE">
        <w:rPr>
          <w:rFonts w:asciiTheme="minorHAnsi" w:hAnsiTheme="minorHAnsi" w:cstheme="minorHAnsi"/>
          <w:b/>
          <w:bCs/>
          <w:color w:val="auto"/>
          <w:sz w:val="24"/>
          <w:szCs w:val="24"/>
          <w:shd w:val="clear" w:color="auto" w:fill="FFFFFF"/>
        </w:rPr>
        <w:t xml:space="preserve">La consejera ha agradecido la labor de los farmacéuticos andaluces por su </w:t>
      </w:r>
      <w:r w:rsidRPr="00A146FE">
        <w:rPr>
          <w:rFonts w:asciiTheme="minorHAnsi" w:hAnsiTheme="minorHAnsi" w:cstheme="minorHAnsi"/>
          <w:b/>
          <w:bCs/>
          <w:color w:val="auto"/>
          <w:sz w:val="24"/>
          <w:szCs w:val="24"/>
        </w:rPr>
        <w:t>contribución profesional al sistema público sanitario en los últimos años</w:t>
      </w:r>
      <w:r w:rsidRPr="00A146FE">
        <w:rPr>
          <w:rFonts w:asciiTheme="minorHAnsi" w:hAnsiTheme="minorHAnsi" w:cstheme="minorHAnsi"/>
          <w:b/>
          <w:bCs/>
          <w:color w:val="auto"/>
          <w:sz w:val="24"/>
          <w:szCs w:val="24"/>
          <w:shd w:val="clear" w:color="auto" w:fill="FFFFFF"/>
        </w:rPr>
        <w:t>, y el trabajo de colaboración conjunta que se viene realizando con la Consejería en diversos aspectos, en especial en situaciones como la pandemia COVID-19.</w:t>
      </w:r>
    </w:p>
    <w:p w14:paraId="30AF947D" w14:textId="77777777" w:rsidR="00EF4956" w:rsidRPr="00B84185" w:rsidRDefault="00EF4956" w:rsidP="00171D33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  <w:highlight w:val="yellow"/>
        </w:rPr>
      </w:pPr>
    </w:p>
    <w:p w14:paraId="2D7C1D7B" w14:textId="4CE6E916" w:rsidR="00A146FE" w:rsidRPr="00A146FE" w:rsidRDefault="00A146FE" w:rsidP="00A146F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shd w:val="clear" w:color="auto" w:fill="FFFFFF"/>
        </w:rPr>
      </w:pPr>
      <w:r w:rsidRPr="00A146FE">
        <w:rPr>
          <w:rFonts w:asciiTheme="minorHAnsi" w:hAnsiTheme="minorHAnsi" w:cstheme="minorHAnsi"/>
          <w:b/>
          <w:bCs/>
          <w:color w:val="auto"/>
          <w:sz w:val="24"/>
          <w:szCs w:val="24"/>
          <w:shd w:val="clear" w:color="auto" w:fill="FFFFFF"/>
        </w:rPr>
        <w:t xml:space="preserve">El presidente del CACOF, Antonio </w:t>
      </w:r>
      <w:proofErr w:type="spellStart"/>
      <w:r w:rsidRPr="00A146FE">
        <w:rPr>
          <w:rFonts w:asciiTheme="minorHAnsi" w:hAnsiTheme="minorHAnsi" w:cstheme="minorHAnsi"/>
          <w:b/>
          <w:bCs/>
          <w:color w:val="auto"/>
          <w:sz w:val="24"/>
          <w:szCs w:val="24"/>
          <w:shd w:val="clear" w:color="auto" w:fill="FFFFFF"/>
        </w:rPr>
        <w:t>Mingorance</w:t>
      </w:r>
      <w:proofErr w:type="spellEnd"/>
      <w:r w:rsidRPr="00A146FE">
        <w:rPr>
          <w:rFonts w:asciiTheme="minorHAnsi" w:hAnsiTheme="minorHAnsi" w:cstheme="minorHAnsi"/>
          <w:b/>
          <w:bCs/>
          <w:color w:val="auto"/>
          <w:sz w:val="24"/>
          <w:szCs w:val="24"/>
          <w:shd w:val="clear" w:color="auto" w:fill="FFFFFF"/>
        </w:rPr>
        <w:t>, ha destacado la colaboración de los farmacéuticos andaluces en aspectos como la divulgación y promoción de la salud en Andalucía; la ayuda en la adherencia a los tratamientos o educación sanitaria; los programas para concienciar sobre el uso racional de los medicamentos o las campañas de vacunación.</w:t>
      </w:r>
    </w:p>
    <w:p w14:paraId="68B3619D" w14:textId="77777777" w:rsidR="00544608" w:rsidRPr="00B84185" w:rsidRDefault="00544608" w:rsidP="00171D33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  <w:highlight w:val="yellow"/>
        </w:rPr>
      </w:pPr>
    </w:p>
    <w:p w14:paraId="7CFBD0E0" w14:textId="587F2726" w:rsidR="00175543" w:rsidRPr="00A146FE" w:rsidRDefault="00A146FE" w:rsidP="00171D33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146F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Asimismo, </w:t>
      </w:r>
      <w:proofErr w:type="spellStart"/>
      <w:r w:rsidRPr="00A146FE">
        <w:rPr>
          <w:rFonts w:asciiTheme="minorHAnsi" w:hAnsiTheme="minorHAnsi" w:cstheme="minorHAnsi"/>
          <w:b/>
          <w:bCs/>
          <w:color w:val="auto"/>
          <w:sz w:val="24"/>
          <w:szCs w:val="24"/>
        </w:rPr>
        <w:t>Mingorance</w:t>
      </w:r>
      <w:proofErr w:type="spellEnd"/>
      <w:r w:rsidRPr="00A146F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ha pedido a la consejera que se siga la colaboración y el camino iniciado en la gestión de la pandemia, durante la cual se confiaron a los farmacéuticos atribuciones que resultaron determinantes para garantizar el acceso a la prestación farmacéutica de toda la población, especialmente de la más vulnerable.</w:t>
      </w:r>
    </w:p>
    <w:p w14:paraId="22037533" w14:textId="77777777" w:rsidR="00A146FE" w:rsidRDefault="00A146FE" w:rsidP="00171D33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3D19A51" w14:textId="77777777" w:rsidR="00FC2B57" w:rsidRDefault="00FC2B57" w:rsidP="00171D33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8F8DCB3" w14:textId="04DAE52A" w:rsidR="00B84185" w:rsidRDefault="00B84185" w:rsidP="00B84185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Sevilla</w:t>
      </w:r>
      <w:r w:rsidR="00CE0E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11</w:t>
      </w:r>
      <w:r w:rsidR="00CE0E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de</w:t>
      </w:r>
      <w:r w:rsidR="00E75727" w:rsidRPr="00171D3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enero </w:t>
      </w:r>
      <w:r w:rsidR="00E75727" w:rsidRPr="00171D33">
        <w:rPr>
          <w:rFonts w:asciiTheme="minorHAnsi" w:hAnsiTheme="minorHAnsi" w:cstheme="minorHAnsi"/>
          <w:b/>
          <w:color w:val="auto"/>
          <w:sz w:val="24"/>
          <w:szCs w:val="24"/>
        </w:rPr>
        <w:t>de 202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="00E75727" w:rsidRPr="00171D33">
        <w:rPr>
          <w:rFonts w:asciiTheme="minorHAnsi" w:hAnsiTheme="minorHAnsi" w:cstheme="minorHAnsi"/>
          <w:b/>
          <w:color w:val="auto"/>
          <w:sz w:val="24"/>
          <w:szCs w:val="24"/>
        </w:rPr>
        <w:t>.-</w:t>
      </w:r>
      <w:r w:rsidR="00E75727"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84185">
        <w:rPr>
          <w:rFonts w:asciiTheme="minorHAnsi" w:hAnsiTheme="minorHAnsi" w:cstheme="minorHAnsi"/>
          <w:color w:val="auto"/>
          <w:sz w:val="24"/>
          <w:szCs w:val="24"/>
        </w:rPr>
        <w:t>El Comité Ejecutivo del C</w:t>
      </w:r>
      <w:r>
        <w:rPr>
          <w:rFonts w:asciiTheme="minorHAnsi" w:hAnsiTheme="minorHAnsi" w:cstheme="minorHAnsi"/>
          <w:color w:val="auto"/>
          <w:sz w:val="24"/>
          <w:szCs w:val="24"/>
        </w:rPr>
        <w:t>onsejo Andaluz de Colegios de Farmacéuticos (CACOF)</w:t>
      </w:r>
      <w:r w:rsidRPr="00B84185">
        <w:rPr>
          <w:rFonts w:asciiTheme="minorHAnsi" w:hAnsiTheme="minorHAnsi" w:cstheme="minorHAnsi"/>
          <w:color w:val="auto"/>
          <w:sz w:val="24"/>
          <w:szCs w:val="24"/>
        </w:rPr>
        <w:t xml:space="preserve">, con su presidente Antonio </w:t>
      </w:r>
      <w:proofErr w:type="spellStart"/>
      <w:r w:rsidRPr="00B84185">
        <w:rPr>
          <w:rFonts w:asciiTheme="minorHAnsi" w:hAnsiTheme="minorHAnsi" w:cstheme="minorHAnsi"/>
          <w:color w:val="auto"/>
          <w:sz w:val="24"/>
          <w:szCs w:val="24"/>
        </w:rPr>
        <w:t>Mingorance</w:t>
      </w:r>
      <w:proofErr w:type="spellEnd"/>
      <w:r w:rsidRPr="00B84185">
        <w:rPr>
          <w:rFonts w:asciiTheme="minorHAnsi" w:hAnsiTheme="minorHAnsi" w:cstheme="minorHAnsi"/>
          <w:color w:val="auto"/>
          <w:sz w:val="24"/>
          <w:szCs w:val="24"/>
        </w:rPr>
        <w:t xml:space="preserve"> a la cabeza, ha mantenido hoy una reunión de trabajo con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r w:rsidRPr="00B84185">
        <w:rPr>
          <w:rFonts w:asciiTheme="minorHAnsi" w:hAnsiTheme="minorHAnsi" w:cstheme="minorHAnsi"/>
          <w:color w:val="auto"/>
          <w:sz w:val="24"/>
          <w:szCs w:val="24"/>
        </w:rPr>
        <w:t>consejera de Salud y Consumo, Catalina García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en la sede de la Consejería, </w:t>
      </w:r>
      <w:r w:rsidRPr="00B84185">
        <w:rPr>
          <w:rFonts w:asciiTheme="minorHAnsi" w:hAnsiTheme="minorHAnsi" w:cstheme="minorHAnsi"/>
          <w:color w:val="auto"/>
          <w:sz w:val="24"/>
          <w:szCs w:val="24"/>
        </w:rPr>
        <w:t xml:space="preserve">para valorar la situación de la Farmacia andaluza y estudiar líneas de trabajo y colaboración en </w:t>
      </w:r>
      <w:r>
        <w:rPr>
          <w:rFonts w:asciiTheme="minorHAnsi" w:hAnsiTheme="minorHAnsi" w:cstheme="minorHAnsi"/>
          <w:color w:val="auto"/>
          <w:sz w:val="24"/>
          <w:szCs w:val="24"/>
        </w:rPr>
        <w:t>proyectos de interés para seguir avanzando en la mejora de la salud de la población andaluza</w:t>
      </w:r>
      <w:r w:rsidRPr="00B84185">
        <w:rPr>
          <w:rFonts w:asciiTheme="minorHAnsi" w:hAnsiTheme="minorHAnsi" w:cstheme="minorHAnsi"/>
          <w:color w:val="auto"/>
          <w:sz w:val="24"/>
          <w:szCs w:val="24"/>
        </w:rPr>
        <w:t>. A este encuentro también ha</w:t>
      </w:r>
      <w:r w:rsidR="00FC2B57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B84185">
        <w:rPr>
          <w:rFonts w:asciiTheme="minorHAnsi" w:hAnsiTheme="minorHAnsi" w:cstheme="minorHAnsi"/>
          <w:color w:val="auto"/>
          <w:sz w:val="24"/>
          <w:szCs w:val="24"/>
        </w:rPr>
        <w:t xml:space="preserve"> asistido los distintos presidentes de los Colegios de Farmacéuticos provinciales andaluces.</w:t>
      </w:r>
    </w:p>
    <w:p w14:paraId="3395CFC4" w14:textId="77777777" w:rsidR="00B84185" w:rsidRDefault="00B84185" w:rsidP="00B84185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8C7E167" w14:textId="44B47E82" w:rsidR="00B84185" w:rsidRPr="005B67F2" w:rsidRDefault="00B84185" w:rsidP="00B84185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5B67F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Durante la reunión, Catalina García ha agradecido </w:t>
      </w:r>
      <w:r w:rsidR="005B67F2" w:rsidRPr="005B67F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la labor de los </w:t>
      </w:r>
      <w:r w:rsidRPr="005B67F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farmacéuticos andaluces </w:t>
      </w:r>
      <w:r w:rsidR="005B67F2" w:rsidRPr="005B67F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en los últimos años por su </w:t>
      </w:r>
      <w:r w:rsidR="005B67F2" w:rsidRPr="005B67F2">
        <w:rPr>
          <w:rFonts w:asciiTheme="minorHAnsi" w:hAnsiTheme="minorHAnsi" w:cstheme="minorHAnsi"/>
          <w:color w:val="auto"/>
          <w:sz w:val="24"/>
          <w:szCs w:val="24"/>
        </w:rPr>
        <w:t>contribución profesional al sistema público sanitario</w:t>
      </w:r>
      <w:r w:rsidR="005B67F2" w:rsidRPr="005B67F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, y el trabajo de </w:t>
      </w:r>
      <w:r w:rsidRPr="005B67F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colaboración </w:t>
      </w:r>
      <w:r w:rsidR="005B67F2" w:rsidRPr="005B67F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conjunta que se viene realizando con la Consejería </w:t>
      </w:r>
      <w:r w:rsidR="005B67F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en diversos aspectos, en especial en situaciones críticas o de urgencia como la pandemia de la COVID-19.</w:t>
      </w:r>
    </w:p>
    <w:p w14:paraId="73F0C359" w14:textId="77777777" w:rsidR="00B84185" w:rsidRDefault="00B84185" w:rsidP="00B84185">
      <w:pPr>
        <w:spacing w:after="0" w:line="240" w:lineRule="auto"/>
        <w:jc w:val="both"/>
        <w:rPr>
          <w:rFonts w:ascii="Roboto" w:hAnsi="Roboto"/>
          <w:color w:val="282A2B"/>
          <w:sz w:val="23"/>
          <w:szCs w:val="23"/>
          <w:shd w:val="clear" w:color="auto" w:fill="FFFFFF"/>
        </w:rPr>
      </w:pPr>
    </w:p>
    <w:p w14:paraId="54B6F007" w14:textId="5188CE34" w:rsidR="005B67F2" w:rsidRPr="00C50527" w:rsidRDefault="005B67F2" w:rsidP="005B67F2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lastRenderedPageBreak/>
        <w:t xml:space="preserve">En este sentido, el presidente del CACOF, Antonio </w:t>
      </w:r>
      <w:proofErr w:type="spellStart"/>
      <w:r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Mingorance</w:t>
      </w:r>
      <w:proofErr w:type="spellEnd"/>
      <w:r w:rsidR="00A146FE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</w:t>
      </w:r>
      <w:r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ha destacado la colaboración de los farmacéuticos andaluces en aspectos como la divulgación y promoción de la salud en Andalucía; “una cooperación que también se extiende a la ayuda en la adherencia a los tratamientos o educación sanitaria, entre otras, y que desde la Farmacia andaluza se viene promoviendo de forma importante en los últimos años. O en otras como los programas para concienciar sobre el uso racional de los medicamentos o las campañas de vacunación”, ha señalado.</w:t>
      </w:r>
    </w:p>
    <w:p w14:paraId="3E778245" w14:textId="77777777" w:rsidR="005B67F2" w:rsidRPr="00C50527" w:rsidRDefault="005B67F2" w:rsidP="00B84185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</w:p>
    <w:p w14:paraId="7712214A" w14:textId="128C056E" w:rsidR="00C50527" w:rsidRPr="00C50527" w:rsidRDefault="005B67F2" w:rsidP="00B84185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El presidente del CACOF </w:t>
      </w:r>
      <w:r w:rsidR="00B84185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ha </w:t>
      </w:r>
      <w:r w:rsidR="00C50527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recordado </w:t>
      </w:r>
      <w:r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q</w:t>
      </w:r>
      <w:r w:rsidR="00C50527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ue </w:t>
      </w:r>
      <w:r w:rsidR="00B84185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las farmacias </w:t>
      </w:r>
      <w:r w:rsidR="00C50527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comunitarias andaluzas</w:t>
      </w:r>
      <w:r w:rsidR="00B84185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conforman una red capilar de </w:t>
      </w:r>
      <w:r w:rsidR="00C50527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cerca de 4</w:t>
      </w:r>
      <w:r w:rsidR="00B84185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.</w:t>
      </w:r>
      <w:r w:rsidR="00C50527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0</w:t>
      </w:r>
      <w:r w:rsidR="00B84185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00 oficinas </w:t>
      </w:r>
      <w:r w:rsidR="00C50527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que son </w:t>
      </w:r>
      <w:r w:rsidR="00B84185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capaces de llegar a todos los andaluces, </w:t>
      </w:r>
      <w:r w:rsidR="00C50527" w:rsidRPr="00C5052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y que “somos, por tanto, una herramienta clave en el conjunto del sistema de salud andaluz, los profesionales más cercanos a la población. </w:t>
      </w:r>
      <w:r w:rsidR="00C50527" w:rsidRPr="00C50527">
        <w:rPr>
          <w:rFonts w:asciiTheme="minorHAnsi" w:hAnsiTheme="minorHAnsi" w:cstheme="minorHAnsi"/>
          <w:color w:val="auto"/>
          <w:sz w:val="24"/>
          <w:szCs w:val="24"/>
        </w:rPr>
        <w:t>Hay casi 165 farmacéuticos por cada 100.000 habitantes en Andalucía</w:t>
      </w:r>
      <w:r w:rsidR="00C50527">
        <w:rPr>
          <w:rFonts w:asciiTheme="minorHAnsi" w:hAnsiTheme="minorHAnsi" w:cstheme="minorHAnsi"/>
          <w:color w:val="auto"/>
          <w:sz w:val="24"/>
          <w:szCs w:val="24"/>
        </w:rPr>
        <w:t xml:space="preserve">, con un total de </w:t>
      </w:r>
      <w:r w:rsidR="00C50527"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13.996 </w:t>
      </w:r>
      <w:r w:rsidR="00C50527">
        <w:rPr>
          <w:rFonts w:asciiTheme="minorHAnsi" w:hAnsiTheme="minorHAnsi" w:cstheme="minorHAnsi"/>
          <w:color w:val="auto"/>
          <w:sz w:val="24"/>
          <w:szCs w:val="24"/>
        </w:rPr>
        <w:t xml:space="preserve">profesionales en la comunidad”. </w:t>
      </w:r>
    </w:p>
    <w:p w14:paraId="1601EE11" w14:textId="77777777" w:rsidR="00B84185" w:rsidRDefault="00B84185" w:rsidP="00E0484E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BC3F10C" w14:textId="3218563B" w:rsidR="00C50527" w:rsidRDefault="00C50527" w:rsidP="00C50527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Así, </w:t>
      </w:r>
      <w:proofErr w:type="spellStart"/>
      <w:r w:rsidR="00EC5216">
        <w:rPr>
          <w:rFonts w:asciiTheme="minorHAnsi" w:hAnsiTheme="minorHAnsi" w:cstheme="minorHAnsi"/>
          <w:color w:val="auto"/>
          <w:sz w:val="24"/>
          <w:szCs w:val="24"/>
        </w:rPr>
        <w:t>Mingorance</w:t>
      </w:r>
      <w:proofErr w:type="spellEnd"/>
      <w:r w:rsidR="00F6521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75727"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ha </w:t>
      </w:r>
      <w:r w:rsidR="00A146FE">
        <w:rPr>
          <w:rFonts w:asciiTheme="minorHAnsi" w:hAnsiTheme="minorHAnsi" w:cstheme="minorHAnsi"/>
          <w:color w:val="auto"/>
          <w:sz w:val="24"/>
          <w:szCs w:val="24"/>
        </w:rPr>
        <w:t>pedido</w:t>
      </w:r>
      <w:r w:rsidR="00EF4956">
        <w:rPr>
          <w:rFonts w:asciiTheme="minorHAnsi" w:hAnsiTheme="minorHAnsi" w:cstheme="minorHAnsi"/>
          <w:color w:val="auto"/>
          <w:sz w:val="24"/>
          <w:szCs w:val="24"/>
        </w:rPr>
        <w:t xml:space="preserve"> a la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consejera que se </w:t>
      </w:r>
      <w:r w:rsidR="00E75727"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siga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la colaboración y </w:t>
      </w:r>
      <w:r w:rsidR="00E75727"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el camino iniciado en la gestión de la pandemia, </w:t>
      </w:r>
      <w:r w:rsidR="001D7E5C" w:rsidRPr="00171D33">
        <w:rPr>
          <w:rFonts w:asciiTheme="minorHAnsi" w:hAnsiTheme="minorHAnsi" w:cstheme="minorHAnsi"/>
          <w:color w:val="auto"/>
          <w:sz w:val="24"/>
          <w:szCs w:val="24"/>
        </w:rPr>
        <w:t>durante la cual</w:t>
      </w:r>
      <w:r w:rsidR="00E75727"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 se confiaron a los farmacéuticos atribuciones que resultaron determinantes para garantizar el acceso a la</w:t>
      </w:r>
      <w:r w:rsidR="006D4580">
        <w:rPr>
          <w:rFonts w:asciiTheme="minorHAnsi" w:hAnsiTheme="minorHAnsi" w:cstheme="minorHAnsi"/>
          <w:color w:val="auto"/>
          <w:sz w:val="24"/>
          <w:szCs w:val="24"/>
        </w:rPr>
        <w:t xml:space="preserve"> prestación farmacéutica</w:t>
      </w:r>
      <w:r w:rsidR="00E75727"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r w:rsidR="001D7E5C"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toda la </w:t>
      </w:r>
      <w:r w:rsidR="006D4580">
        <w:rPr>
          <w:rFonts w:asciiTheme="minorHAnsi" w:hAnsiTheme="minorHAnsi" w:cstheme="minorHAnsi"/>
          <w:color w:val="auto"/>
          <w:sz w:val="24"/>
          <w:szCs w:val="24"/>
        </w:rPr>
        <w:t>población, especialmente de la más vulnerable</w:t>
      </w:r>
      <w:r w:rsidR="00E75727"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171D33">
        <w:rPr>
          <w:rFonts w:asciiTheme="minorHAnsi" w:hAnsiTheme="minorHAnsi" w:cstheme="minorHAnsi"/>
          <w:color w:val="auto"/>
          <w:sz w:val="24"/>
          <w:szCs w:val="24"/>
        </w:rPr>
        <w:t>“</w:t>
      </w:r>
      <w:r w:rsidR="009C741A">
        <w:rPr>
          <w:rFonts w:asciiTheme="minorHAnsi" w:hAnsiTheme="minorHAnsi" w:cstheme="minorHAnsi"/>
          <w:color w:val="auto"/>
          <w:sz w:val="24"/>
          <w:szCs w:val="24"/>
        </w:rPr>
        <w:t>Los farmacéuticos ya contribuimos en muchas cuestiones del sistema de salud</w:t>
      </w:r>
      <w:r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, pero podríamos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hacer más ante retos </w:t>
      </w:r>
      <w:r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tan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importantes </w:t>
      </w:r>
      <w:r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como el seguimiento de los pacientes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crónicos y </w:t>
      </w:r>
      <w:r w:rsidRPr="00171D33">
        <w:rPr>
          <w:rFonts w:asciiTheme="minorHAnsi" w:hAnsiTheme="minorHAnsi" w:cstheme="minorHAnsi"/>
          <w:color w:val="auto"/>
          <w:sz w:val="24"/>
          <w:szCs w:val="24"/>
        </w:rPr>
        <w:t>vulnerables y la adherencia a los tratamientos</w:t>
      </w:r>
      <w:r w:rsidR="009C741A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o la prevención y detección precoz de algunas enfermedades. E</w:t>
      </w:r>
      <w:r w:rsidRPr="00171D33">
        <w:rPr>
          <w:rFonts w:asciiTheme="minorHAnsi" w:hAnsiTheme="minorHAnsi" w:cstheme="minorHAnsi"/>
          <w:color w:val="auto"/>
          <w:sz w:val="24"/>
          <w:szCs w:val="24"/>
        </w:rPr>
        <w:t xml:space="preserve">specialmente en </w:t>
      </w:r>
      <w:r w:rsidR="009C741A">
        <w:rPr>
          <w:rFonts w:asciiTheme="minorHAnsi" w:hAnsiTheme="minorHAnsi" w:cstheme="minorHAnsi"/>
          <w:color w:val="auto"/>
          <w:sz w:val="24"/>
          <w:szCs w:val="24"/>
        </w:rPr>
        <w:t xml:space="preserve">aspectos de </w:t>
      </w:r>
      <w:r w:rsidRPr="00171D33">
        <w:rPr>
          <w:rFonts w:asciiTheme="minorHAnsi" w:hAnsiTheme="minorHAnsi" w:cstheme="minorHAnsi"/>
          <w:color w:val="auto"/>
          <w:sz w:val="24"/>
          <w:szCs w:val="24"/>
        </w:rPr>
        <w:t>Atención Primaria, mejorando así el servicio prestado a los pacientes y la equidad e igualdad</w:t>
      </w:r>
      <w:r w:rsidR="009C741A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171D33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B6B8B45" w14:textId="77777777" w:rsidR="00C50527" w:rsidRDefault="00C50527" w:rsidP="00E0484E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E0D2390" w14:textId="5CBE5831" w:rsidR="006F5112" w:rsidRDefault="006F5112" w:rsidP="009D1D83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6F5112">
        <w:rPr>
          <w:rFonts w:asciiTheme="minorHAnsi" w:hAnsiTheme="minorHAnsi" w:cstheme="minorHAnsi"/>
          <w:color w:val="auto"/>
          <w:sz w:val="24"/>
          <w:szCs w:val="24"/>
        </w:rPr>
        <w:t xml:space="preserve">Por último, tanto el </w:t>
      </w:r>
      <w:r w:rsidR="009C741A" w:rsidRPr="006F5112">
        <w:rPr>
          <w:rFonts w:asciiTheme="minorHAnsi" w:hAnsiTheme="minorHAnsi" w:cstheme="minorHAnsi"/>
          <w:color w:val="auto"/>
          <w:sz w:val="24"/>
          <w:szCs w:val="24"/>
        </w:rPr>
        <w:t xml:space="preserve">presidente del CACOF </w:t>
      </w:r>
      <w:r w:rsidRPr="006F5112">
        <w:rPr>
          <w:rFonts w:asciiTheme="minorHAnsi" w:hAnsiTheme="minorHAnsi" w:cstheme="minorHAnsi"/>
          <w:color w:val="auto"/>
          <w:sz w:val="24"/>
          <w:szCs w:val="24"/>
        </w:rPr>
        <w:t xml:space="preserve">como la consejera han incidido precisamente en la necesidad de seguir avanzando en la coordinación y comunicación entre la Atención Primaria y la Farmacia para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así </w:t>
      </w:r>
      <w:r w:rsidRPr="006F511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mejorar la atención de los pacientes y 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colaborar en otras cuestiones de </w:t>
      </w:r>
      <w:r w:rsidRPr="006F511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salud 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pública de cara al futuro; así como en continuar fomentando las campañas de educación sanitaria entre la población </w:t>
      </w:r>
      <w:r w:rsidR="006C7D3B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a través de las farmacias, y en mejorar las herramientas tecnológicas disponibles que permitan garantizar la prestación farmacéutica en beneficio del paciente. </w:t>
      </w:r>
    </w:p>
    <w:p w14:paraId="5162722E" w14:textId="77777777" w:rsidR="006F5112" w:rsidRPr="00CE0E97" w:rsidRDefault="006F5112" w:rsidP="009D1D83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</w:p>
    <w:p w14:paraId="1702092E" w14:textId="77777777" w:rsidR="00171D33" w:rsidRPr="00171D33" w:rsidRDefault="00171D33" w:rsidP="00171D33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4426EE6C" w14:textId="77777777" w:rsidR="00171D33" w:rsidRPr="00171D33" w:rsidRDefault="00171D33" w:rsidP="00171D33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71D33">
        <w:rPr>
          <w:rFonts w:asciiTheme="minorHAnsi" w:hAnsiTheme="minorHAnsi" w:cstheme="minorHAnsi"/>
          <w:b/>
          <w:bCs/>
          <w:color w:val="auto"/>
          <w:sz w:val="24"/>
          <w:szCs w:val="24"/>
        </w:rPr>
        <w:t>Para más información:</w:t>
      </w:r>
    </w:p>
    <w:p w14:paraId="24956E5E" w14:textId="77777777" w:rsidR="00171D33" w:rsidRPr="00171D33" w:rsidRDefault="00171D33" w:rsidP="00171D33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71D33">
        <w:rPr>
          <w:rFonts w:asciiTheme="minorHAnsi" w:hAnsiTheme="minorHAnsi" w:cstheme="minorHAnsi"/>
          <w:b/>
          <w:bCs/>
          <w:color w:val="auto"/>
          <w:sz w:val="24"/>
          <w:szCs w:val="24"/>
        </w:rPr>
        <w:t>Gabinete de comunicación del Consejo Andaluz de Colegios Oficiales de Farmacéuticos: Manuela Hernández (651 86 72 78)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/ </w:t>
      </w:r>
      <w:r w:rsidRPr="00171D33">
        <w:rPr>
          <w:rFonts w:asciiTheme="minorHAnsi" w:hAnsiTheme="minorHAnsi" w:cstheme="minorHAnsi"/>
          <w:b/>
          <w:bCs/>
          <w:color w:val="auto"/>
          <w:sz w:val="24"/>
          <w:szCs w:val="24"/>
        </w:rPr>
        <w:t>Jesús Herrera (625 872 780)</w:t>
      </w:r>
    </w:p>
    <w:p w14:paraId="13B7CA6B" w14:textId="77777777" w:rsidR="00171D33" w:rsidRPr="00171D33" w:rsidRDefault="00171D33" w:rsidP="00171D33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sectPr w:rsidR="00171D33" w:rsidRPr="00171D33" w:rsidSect="009C741A">
      <w:pgSz w:w="11906" w:h="16838"/>
      <w:pgMar w:top="1304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496"/>
    <w:rsid w:val="00171D33"/>
    <w:rsid w:val="00175543"/>
    <w:rsid w:val="00181A7E"/>
    <w:rsid w:val="001D205E"/>
    <w:rsid w:val="001D7E5C"/>
    <w:rsid w:val="00265630"/>
    <w:rsid w:val="003E0BE3"/>
    <w:rsid w:val="00443E89"/>
    <w:rsid w:val="00544608"/>
    <w:rsid w:val="00553ECE"/>
    <w:rsid w:val="005570C3"/>
    <w:rsid w:val="005B67F2"/>
    <w:rsid w:val="006C7D3B"/>
    <w:rsid w:val="006D4580"/>
    <w:rsid w:val="006F5112"/>
    <w:rsid w:val="007A5F9E"/>
    <w:rsid w:val="0087436F"/>
    <w:rsid w:val="00943FFE"/>
    <w:rsid w:val="00971E88"/>
    <w:rsid w:val="009C741A"/>
    <w:rsid w:val="009D1D83"/>
    <w:rsid w:val="00A146FE"/>
    <w:rsid w:val="00A54A24"/>
    <w:rsid w:val="00A951D9"/>
    <w:rsid w:val="00B1510F"/>
    <w:rsid w:val="00B56390"/>
    <w:rsid w:val="00B84185"/>
    <w:rsid w:val="00C231AB"/>
    <w:rsid w:val="00C50527"/>
    <w:rsid w:val="00C86496"/>
    <w:rsid w:val="00CE0E97"/>
    <w:rsid w:val="00D02279"/>
    <w:rsid w:val="00D41369"/>
    <w:rsid w:val="00D469D3"/>
    <w:rsid w:val="00E0484E"/>
    <w:rsid w:val="00E75727"/>
    <w:rsid w:val="00E8268D"/>
    <w:rsid w:val="00EC5216"/>
    <w:rsid w:val="00EF4956"/>
    <w:rsid w:val="00F47CD2"/>
    <w:rsid w:val="00F61ED4"/>
    <w:rsid w:val="00F65214"/>
    <w:rsid w:val="00F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4576"/>
  <w15:docId w15:val="{B69028FC-4386-4FFE-9DCA-3F4F31E4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96"/>
    <w:pPr>
      <w:spacing w:after="200" w:line="288" w:lineRule="auto"/>
    </w:pPr>
    <w:rPr>
      <w:rFonts w:ascii="Arial" w:hAnsi="Arial" w:cs="Arial"/>
      <w:color w:val="595959" w:themeColor="text1" w:themeTint="A6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65630"/>
    <w:rPr>
      <w:b/>
      <w:bCs/>
    </w:rPr>
  </w:style>
  <w:style w:type="paragraph" w:styleId="NormalWeb">
    <w:name w:val="Normal (Web)"/>
    <w:basedOn w:val="Normal"/>
    <w:uiPriority w:val="99"/>
    <w:unhideWhenUsed/>
    <w:rsid w:val="0018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</dc:creator>
  <cp:lastModifiedBy>Jesus Herrera</cp:lastModifiedBy>
  <cp:revision>4</cp:revision>
  <dcterms:created xsi:type="dcterms:W3CDTF">2024-01-11T09:59:00Z</dcterms:created>
  <dcterms:modified xsi:type="dcterms:W3CDTF">2024-01-11T17:49:00Z</dcterms:modified>
</cp:coreProperties>
</file>