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4F4B3571"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w:t>
      </w:r>
      <w:r w:rsidR="00436EB7">
        <w:rPr>
          <w:rFonts w:asciiTheme="minorHAnsi" w:hAnsiTheme="minorHAnsi" w:cstheme="minorHAnsi"/>
          <w:b/>
          <w:sz w:val="28"/>
          <w:szCs w:val="28"/>
        </w:rPr>
        <w:t xml:space="preserve">VALENCIANOS </w:t>
      </w:r>
      <w:r>
        <w:rPr>
          <w:rFonts w:asciiTheme="minorHAnsi" w:hAnsiTheme="minorHAnsi" w:cstheme="minorHAnsi"/>
          <w:b/>
          <w:sz w:val="28"/>
          <w:szCs w:val="28"/>
        </w:rPr>
        <w:t xml:space="preserve">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1F3F8E">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1BD62AB0" w14:textId="27EF1476" w:rsidR="00436EB7" w:rsidRPr="00436EB7" w:rsidRDefault="00595A14" w:rsidP="00595A14">
      <w:pPr>
        <w:jc w:val="both"/>
        <w:rPr>
          <w:b/>
          <w:sz w:val="26"/>
          <w:szCs w:val="26"/>
        </w:rPr>
      </w:pPr>
      <w:r w:rsidRPr="00436EB7">
        <w:rPr>
          <w:rFonts w:asciiTheme="minorHAnsi" w:hAnsiTheme="minorHAnsi" w:cstheme="minorHAnsi"/>
          <w:b/>
          <w:color w:val="000000" w:themeColor="text1"/>
          <w:sz w:val="26"/>
          <w:szCs w:val="26"/>
        </w:rPr>
        <w:t>El estudio sugiere que la telemonitorización remota mejora los resultados de mortalidad y supervivencia, y en él han participado profesionales de Nefrología del</w:t>
      </w:r>
      <w:r w:rsidR="00436EB7" w:rsidRPr="00436EB7">
        <w:rPr>
          <w:rFonts w:asciiTheme="minorHAnsi" w:hAnsiTheme="minorHAnsi" w:cstheme="minorHAnsi"/>
          <w:b/>
          <w:color w:val="000000" w:themeColor="text1"/>
          <w:sz w:val="26"/>
          <w:szCs w:val="26"/>
        </w:rPr>
        <w:t xml:space="preserve"> </w:t>
      </w:r>
      <w:r w:rsidR="00436EB7" w:rsidRPr="00436EB7">
        <w:rPr>
          <w:b/>
          <w:sz w:val="26"/>
          <w:szCs w:val="26"/>
        </w:rPr>
        <w:t>Hospital Universitario y Politécnico La Fe y el Hospital Clínico Universitario de Valencia; el Hospital General Universitario Dr. Balmis de Alicante, y el Hospital Universitario de Torrevieja.</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5B55A649"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r w:rsidR="00436EB7">
        <w:rPr>
          <w:rFonts w:asciiTheme="minorHAnsi" w:hAnsiTheme="minorHAnsi" w:cstheme="minorHAnsi"/>
          <w:b/>
          <w:color w:val="000000" w:themeColor="text1"/>
          <w:sz w:val="26"/>
          <w:szCs w:val="26"/>
        </w:rPr>
        <w:t>.</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lastRenderedPageBreak/>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a investigación concluye que la telemonitorización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 Score Matching)</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“A la luz de estos resultados, la telemonitorización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Cabueñes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376F2BF5"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Hospital Cl</w:t>
      </w:r>
      <w:r w:rsidR="00133FCB" w:rsidRPr="00133FCB">
        <w:rPr>
          <w:sz w:val="24"/>
          <w:szCs w:val="24"/>
        </w:rPr>
        <w:t>í</w:t>
      </w:r>
      <w:r w:rsidRPr="00133FCB">
        <w:rPr>
          <w:sz w:val="24"/>
          <w:szCs w:val="24"/>
        </w:rPr>
        <w:t>nic</w:t>
      </w:r>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lastRenderedPageBreak/>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t>Hospital 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Hospital Virgen de la Arraixac</w:t>
      </w:r>
      <w:r w:rsidR="00393C11" w:rsidRPr="00133FCB">
        <w:rPr>
          <w:sz w:val="24"/>
          <w:szCs w:val="24"/>
        </w:rPr>
        <w:t>a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infradiagnóstico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Telemonitorización Remota en DPA. Impacto en SONG-PD outcomes.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Marco Montomoli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r w:rsidRPr="000F58FA">
        <w:t>Affiliations</w:t>
      </w:r>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heterogenicidad. El presente estudio evaluó la asociación entre el uso de RPM y los resultados de SONG-PD standarized outcomes.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Estudio observacional prospectivo multicéntrico de cohortes que incluyó 232 pacientes en 16 hospitales españoles. Se utilizó RPM en 176 de los pacientes y 56 fueron tratados sin RPM. SONG-PD outcomes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muerte.El tiempo de seguimiento fue al menos de 6 meses. Se utilizó propensity score </w:t>
      </w:r>
      <w:r>
        <w:lastRenderedPageBreak/>
        <w:t xml:space="preserve">matching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 xml:space="preserve">Las características basales y demográficas se muestran en la Tabla 1. Previo PSM, la DPA con RPM (n=176) vs sin RPM (n=56) se asoció con menor mortalidad (n=1 vs n=4)(HR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E44BF"/>
    <w:rsid w:val="000F58FA"/>
    <w:rsid w:val="00114F0C"/>
    <w:rsid w:val="00133FCB"/>
    <w:rsid w:val="00143043"/>
    <w:rsid w:val="001F3F8E"/>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36EB7"/>
    <w:rsid w:val="00440097"/>
    <w:rsid w:val="0047310F"/>
    <w:rsid w:val="004865AA"/>
    <w:rsid w:val="00531C48"/>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2023-11-15T11:51:00Z</dcterms:created>
  <dcterms:modified xsi:type="dcterms:W3CDTF">2023-11-15T12:35:00Z</dcterms:modified>
</cp:coreProperties>
</file>