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55AE3756"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w:t>
      </w:r>
      <w:r w:rsidR="001624FF">
        <w:rPr>
          <w:rFonts w:asciiTheme="minorHAnsi" w:hAnsiTheme="minorHAnsi" w:cstheme="minorHAnsi"/>
          <w:b/>
          <w:sz w:val="28"/>
          <w:szCs w:val="28"/>
        </w:rPr>
        <w:t xml:space="preserve">GALLEGOS </w:t>
      </w:r>
      <w:r>
        <w:rPr>
          <w:rFonts w:asciiTheme="minorHAnsi" w:hAnsiTheme="minorHAnsi" w:cstheme="minorHAnsi"/>
          <w:b/>
          <w:sz w:val="28"/>
          <w:szCs w:val="28"/>
        </w:rPr>
        <w:t xml:space="preserve">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DIALISIS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6C786F3D" w14:textId="7A5FC792" w:rsidR="001624FF" w:rsidRPr="001624FF" w:rsidRDefault="00595A14" w:rsidP="00595A14">
      <w:pPr>
        <w:jc w:val="both"/>
        <w:rPr>
          <w:b/>
          <w:sz w:val="26"/>
          <w:szCs w:val="26"/>
        </w:rPr>
      </w:pPr>
      <w:r w:rsidRPr="001624FF">
        <w:rPr>
          <w:rFonts w:asciiTheme="minorHAnsi" w:hAnsiTheme="minorHAnsi" w:cstheme="minorHAnsi"/>
          <w:b/>
          <w:color w:val="000000" w:themeColor="text1"/>
          <w:sz w:val="26"/>
          <w:szCs w:val="26"/>
        </w:rPr>
        <w:t xml:space="preserve">El estudio </w:t>
      </w:r>
      <w:r w:rsidRPr="001624FF">
        <w:rPr>
          <w:rFonts w:asciiTheme="minorHAnsi" w:hAnsiTheme="minorHAnsi" w:cstheme="minorHAnsi"/>
          <w:b/>
          <w:color w:val="000000" w:themeColor="text1"/>
          <w:sz w:val="26"/>
          <w:szCs w:val="26"/>
        </w:rPr>
        <w:t xml:space="preserve">sugiere que </w:t>
      </w:r>
      <w:r w:rsidRPr="001624FF">
        <w:rPr>
          <w:rFonts w:asciiTheme="minorHAnsi" w:hAnsiTheme="minorHAnsi" w:cstheme="minorHAnsi"/>
          <w:b/>
          <w:color w:val="000000" w:themeColor="text1"/>
          <w:sz w:val="26"/>
          <w:szCs w:val="26"/>
        </w:rPr>
        <w:t xml:space="preserve">la </w:t>
      </w:r>
      <w:proofErr w:type="spellStart"/>
      <w:r w:rsidRPr="001624FF">
        <w:rPr>
          <w:rFonts w:asciiTheme="minorHAnsi" w:hAnsiTheme="minorHAnsi" w:cstheme="minorHAnsi"/>
          <w:b/>
          <w:color w:val="000000" w:themeColor="text1"/>
          <w:sz w:val="26"/>
          <w:szCs w:val="26"/>
        </w:rPr>
        <w:t>telemonitorización</w:t>
      </w:r>
      <w:proofErr w:type="spellEnd"/>
      <w:r w:rsidRPr="001624FF">
        <w:rPr>
          <w:rFonts w:asciiTheme="minorHAnsi" w:hAnsiTheme="minorHAnsi" w:cstheme="minorHAnsi"/>
          <w:b/>
          <w:color w:val="000000" w:themeColor="text1"/>
          <w:sz w:val="26"/>
          <w:szCs w:val="26"/>
        </w:rPr>
        <w:t xml:space="preserve"> remota </w:t>
      </w:r>
      <w:r w:rsidRPr="001624FF">
        <w:rPr>
          <w:rFonts w:asciiTheme="minorHAnsi" w:hAnsiTheme="minorHAnsi" w:cstheme="minorHAnsi"/>
          <w:b/>
          <w:color w:val="000000" w:themeColor="text1"/>
          <w:sz w:val="26"/>
          <w:szCs w:val="26"/>
        </w:rPr>
        <w:t>mejora los resultados de mortalidad y supervivencia</w:t>
      </w:r>
      <w:r w:rsidRPr="001624FF">
        <w:rPr>
          <w:rFonts w:asciiTheme="minorHAnsi" w:hAnsiTheme="minorHAnsi" w:cstheme="minorHAnsi"/>
          <w:b/>
          <w:color w:val="000000" w:themeColor="text1"/>
          <w:sz w:val="26"/>
          <w:szCs w:val="26"/>
        </w:rPr>
        <w:t>, y en él han participado profesionales de Nefrología del</w:t>
      </w:r>
      <w:r w:rsidR="00436EB7" w:rsidRPr="001624FF">
        <w:rPr>
          <w:rFonts w:asciiTheme="minorHAnsi" w:hAnsiTheme="minorHAnsi" w:cstheme="minorHAnsi"/>
          <w:b/>
          <w:color w:val="000000" w:themeColor="text1"/>
          <w:sz w:val="26"/>
          <w:szCs w:val="26"/>
        </w:rPr>
        <w:t xml:space="preserve"> </w:t>
      </w:r>
      <w:r w:rsidR="001624FF" w:rsidRPr="001624FF">
        <w:rPr>
          <w:b/>
          <w:sz w:val="26"/>
          <w:szCs w:val="26"/>
        </w:rPr>
        <w:t>Complejo Hospitalario de Santiago de Compostela (A Coruña)</w:t>
      </w:r>
      <w:r w:rsidR="001624FF" w:rsidRPr="001624FF">
        <w:rPr>
          <w:b/>
          <w:sz w:val="26"/>
          <w:szCs w:val="26"/>
        </w:rPr>
        <w:t>.</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5B55A649"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r w:rsidR="00436EB7">
        <w:rPr>
          <w:rFonts w:asciiTheme="minorHAnsi" w:hAnsiTheme="minorHAnsi" w:cstheme="minorHAnsi"/>
          <w:b/>
          <w:color w:val="000000" w:themeColor="text1"/>
          <w:sz w:val="26"/>
          <w:szCs w:val="26"/>
        </w:rPr>
        <w:t>.</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w:t>
      </w:r>
      <w:r w:rsidR="002E41A9" w:rsidRPr="00133FCB">
        <w:rPr>
          <w:rFonts w:asciiTheme="minorHAnsi" w:hAnsiTheme="minorHAnsi" w:cstheme="minorHAnsi"/>
          <w:sz w:val="24"/>
          <w:szCs w:val="24"/>
        </w:rPr>
        <w:lastRenderedPageBreak/>
        <w:t xml:space="preserve">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 xml:space="preserve">a investigación concluye que la </w:t>
      </w:r>
      <w:proofErr w:type="spellStart"/>
      <w:r w:rsidR="002E41A9" w:rsidRPr="008364C4">
        <w:rPr>
          <w:rFonts w:asciiTheme="minorHAnsi" w:hAnsiTheme="minorHAnsi" w:cstheme="minorHAnsi"/>
          <w:sz w:val="24"/>
          <w:szCs w:val="24"/>
        </w:rPr>
        <w:t>telemonitorización</w:t>
      </w:r>
      <w:proofErr w:type="spellEnd"/>
      <w:r w:rsidR="002E41A9" w:rsidRPr="008364C4">
        <w:rPr>
          <w:rFonts w:asciiTheme="minorHAnsi" w:hAnsiTheme="minorHAnsi" w:cstheme="minorHAnsi"/>
          <w:sz w:val="24"/>
          <w:szCs w:val="24"/>
        </w:rPr>
        <w:t xml:space="preserve">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proofErr w:type="spellStart"/>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w:t>
      </w:r>
      <w:proofErr w:type="spellEnd"/>
      <w:r w:rsidR="00BE3CEC" w:rsidRPr="008364C4">
        <w:rPr>
          <w:rFonts w:asciiTheme="minorHAnsi" w:hAnsiTheme="minorHAnsi" w:cstheme="minorHAnsi"/>
          <w:sz w:val="24"/>
          <w:szCs w:val="24"/>
        </w:rPr>
        <w:t xml:space="preserve"> Score </w:t>
      </w:r>
      <w:proofErr w:type="spellStart"/>
      <w:r w:rsidR="00BE3CEC" w:rsidRPr="008364C4">
        <w:rPr>
          <w:rFonts w:asciiTheme="minorHAnsi" w:hAnsiTheme="minorHAnsi" w:cstheme="minorHAnsi"/>
          <w:sz w:val="24"/>
          <w:szCs w:val="24"/>
        </w:rPr>
        <w:t>Matching</w:t>
      </w:r>
      <w:proofErr w:type="spellEnd"/>
      <w:r w:rsidR="00BE3CEC" w:rsidRPr="008364C4">
        <w:rPr>
          <w:rFonts w:asciiTheme="minorHAnsi" w:hAnsiTheme="minorHAnsi" w:cstheme="minorHAnsi"/>
          <w:sz w:val="24"/>
          <w:szCs w:val="24"/>
        </w:rPr>
        <w:t>)</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 xml:space="preserve">“A la luz de estos resultados, la </w:t>
      </w:r>
      <w:proofErr w:type="spellStart"/>
      <w:r w:rsidR="00630D22" w:rsidRPr="008364C4">
        <w:rPr>
          <w:rFonts w:asciiTheme="minorHAnsi" w:hAnsiTheme="minorHAnsi" w:cstheme="minorHAnsi"/>
          <w:sz w:val="24"/>
          <w:szCs w:val="24"/>
        </w:rPr>
        <w:t>telemonitorización</w:t>
      </w:r>
      <w:proofErr w:type="spellEnd"/>
      <w:r w:rsidR="00630D22" w:rsidRPr="008364C4">
        <w:rPr>
          <w:rFonts w:asciiTheme="minorHAnsi" w:hAnsiTheme="minorHAnsi" w:cstheme="minorHAnsi"/>
          <w:sz w:val="24"/>
          <w:szCs w:val="24"/>
        </w:rPr>
        <w:t xml:space="preserve">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w:t>
      </w:r>
      <w:r w:rsidR="00133FCB" w:rsidRPr="008364C4">
        <w:rPr>
          <w:rFonts w:asciiTheme="minorHAnsi" w:hAnsiTheme="minorHAnsi" w:cstheme="minorHAnsi"/>
          <w:sz w:val="24"/>
          <w:szCs w:val="24"/>
        </w:rPr>
        <w:t>Francisco Javier Centellas</w:t>
      </w:r>
      <w:r w:rsidR="00133FCB" w:rsidRPr="008364C4">
        <w:rPr>
          <w:rFonts w:asciiTheme="minorHAnsi" w:hAnsiTheme="minorHAnsi" w:cstheme="minorHAnsi"/>
          <w:sz w:val="24"/>
          <w:szCs w:val="24"/>
        </w:rPr>
        <w:t xml:space="preserve">, </w:t>
      </w:r>
      <w:r w:rsidR="00133FCB" w:rsidRPr="008364C4">
        <w:rPr>
          <w:rFonts w:asciiTheme="minorHAnsi" w:hAnsiTheme="minorHAnsi" w:cstheme="minorHAnsi"/>
          <w:sz w:val="24"/>
          <w:szCs w:val="24"/>
        </w:rPr>
        <w:t>del Complejo Hospitalario Universitario de Albacete</w:t>
      </w:r>
      <w:r w:rsidR="00133FCB" w:rsidRPr="008364C4">
        <w:rPr>
          <w:rFonts w:asciiTheme="minorHAnsi" w:hAnsiTheme="minorHAnsi" w:cstheme="minorHAnsi"/>
          <w:sz w:val="24"/>
          <w:szCs w:val="24"/>
        </w:rPr>
        <w:t xml:space="preserv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w:t>
      </w:r>
      <w:proofErr w:type="spellStart"/>
      <w:r w:rsidRPr="00133FCB">
        <w:rPr>
          <w:rFonts w:eastAsia="Times New Roman" w:cstheme="minorHAnsi"/>
          <w:spacing w:val="-5"/>
          <w:sz w:val="24"/>
          <w:szCs w:val="24"/>
        </w:rPr>
        <w:t>Cabueñes</w:t>
      </w:r>
      <w:proofErr w:type="spellEnd"/>
      <w:r w:rsidRPr="00133FCB">
        <w:rPr>
          <w:rFonts w:eastAsia="Times New Roman" w:cstheme="minorHAnsi"/>
          <w:spacing w:val="-5"/>
          <w:sz w:val="24"/>
          <w:szCs w:val="24"/>
        </w:rPr>
        <w:t xml:space="preserve">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w:t>
      </w:r>
      <w:proofErr w:type="gramStart"/>
      <w:r w:rsidRPr="00133FCB">
        <w:rPr>
          <w:bCs/>
          <w:sz w:val="24"/>
          <w:szCs w:val="24"/>
        </w:rPr>
        <w:t>pacientes</w:t>
      </w:r>
      <w:proofErr w:type="gramEnd"/>
      <w:r w:rsidRPr="00133FCB">
        <w:rPr>
          <w:bCs/>
          <w:sz w:val="24"/>
          <w:szCs w:val="24"/>
        </w:rPr>
        <w:t xml:space="preserve">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376F2BF5"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 xml:space="preserve">Hospital </w:t>
      </w:r>
      <w:proofErr w:type="spellStart"/>
      <w:r w:rsidRPr="00133FCB">
        <w:rPr>
          <w:sz w:val="24"/>
          <w:szCs w:val="24"/>
        </w:rPr>
        <w:t>Cl</w:t>
      </w:r>
      <w:r w:rsidR="00133FCB" w:rsidRPr="00133FCB">
        <w:rPr>
          <w:sz w:val="24"/>
          <w:szCs w:val="24"/>
        </w:rPr>
        <w:t>í</w:t>
      </w:r>
      <w:r w:rsidRPr="00133FCB">
        <w:rPr>
          <w:sz w:val="24"/>
          <w:szCs w:val="24"/>
        </w:rPr>
        <w:t>nic</w:t>
      </w:r>
      <w:proofErr w:type="spellEnd"/>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lastRenderedPageBreak/>
        <w:t>Hospital 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 xml:space="preserve">Hospital Virgen de la </w:t>
      </w:r>
      <w:proofErr w:type="spellStart"/>
      <w:r w:rsidRPr="00133FCB">
        <w:rPr>
          <w:sz w:val="24"/>
          <w:szCs w:val="24"/>
        </w:rPr>
        <w:t>Arraixac</w:t>
      </w:r>
      <w:r w:rsidR="00393C11" w:rsidRPr="00133FCB">
        <w:rPr>
          <w:sz w:val="24"/>
          <w:szCs w:val="24"/>
        </w:rPr>
        <w:t>a</w:t>
      </w:r>
      <w:proofErr w:type="spellEnd"/>
      <w:r w:rsidR="00393C11" w:rsidRPr="00133FCB">
        <w:rPr>
          <w:sz w:val="24"/>
          <w:szCs w:val="24"/>
        </w:rPr>
        <w:t xml:space="preserve">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w:t>
      </w:r>
      <w:proofErr w:type="spellStart"/>
      <w:r w:rsidR="003B79E3" w:rsidRPr="00133FCB">
        <w:rPr>
          <w:rFonts w:asciiTheme="minorHAnsi" w:hAnsiTheme="minorHAnsi" w:cstheme="minorHAnsi"/>
          <w:sz w:val="24"/>
          <w:szCs w:val="24"/>
        </w:rPr>
        <w:t>infradiagnóstico</w:t>
      </w:r>
      <w:proofErr w:type="spellEnd"/>
      <w:r w:rsidR="003B79E3" w:rsidRPr="00133FCB">
        <w:rPr>
          <w:rFonts w:asciiTheme="minorHAnsi" w:hAnsiTheme="minorHAnsi" w:cstheme="minorHAnsi"/>
          <w:sz w:val="24"/>
          <w:szCs w:val="24"/>
        </w:rPr>
        <w:t xml:space="preserve">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w:t>
      </w:r>
      <w:proofErr w:type="spellStart"/>
      <w:r w:rsidRPr="00133FCB">
        <w:rPr>
          <w:b/>
          <w:sz w:val="24"/>
          <w:szCs w:val="24"/>
        </w:rPr>
        <w:t>Telemonitorización</w:t>
      </w:r>
      <w:proofErr w:type="spellEnd"/>
      <w:r w:rsidRPr="00133FCB">
        <w:rPr>
          <w:b/>
          <w:sz w:val="24"/>
          <w:szCs w:val="24"/>
        </w:rPr>
        <w:t xml:space="preserve"> Remota en DPA. Impacto en SONG-PD </w:t>
      </w:r>
      <w:proofErr w:type="spellStart"/>
      <w:r w:rsidRPr="00133FCB">
        <w:rPr>
          <w:b/>
          <w:sz w:val="24"/>
          <w:szCs w:val="24"/>
        </w:rPr>
        <w:t>outcomes</w:t>
      </w:r>
      <w:proofErr w:type="spellEnd"/>
      <w:r w:rsidRPr="00133FCB">
        <w:rPr>
          <w:b/>
          <w:sz w:val="24"/>
          <w:szCs w:val="24"/>
        </w:rPr>
        <w:t xml:space="preserve">.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xml:space="preserve">; Marco </w:t>
      </w:r>
      <w:proofErr w:type="spellStart"/>
      <w:r w:rsidRPr="00BE3CEC">
        <w:t>Montomoli</w:t>
      </w:r>
      <w:proofErr w:type="spellEnd"/>
      <w:r w:rsidRPr="00BE3CEC">
        <w:t xml:space="preserve">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proofErr w:type="spellStart"/>
      <w:r w:rsidRPr="000F58FA">
        <w:t>Affiliations</w:t>
      </w:r>
      <w:proofErr w:type="spellEnd"/>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w:t>
      </w:r>
      <w:proofErr w:type="spellStart"/>
      <w:r>
        <w:t>heterogenicidad</w:t>
      </w:r>
      <w:proofErr w:type="spellEnd"/>
      <w:r>
        <w:t xml:space="preserve">. El presente estudio evaluó la asociación entre el uso de RPM y los resultados de SONG-PD </w:t>
      </w:r>
      <w:proofErr w:type="spellStart"/>
      <w:r>
        <w:t>standarized</w:t>
      </w:r>
      <w:proofErr w:type="spellEnd"/>
      <w:r>
        <w:t xml:space="preserve"> </w:t>
      </w:r>
      <w:proofErr w:type="spellStart"/>
      <w:r>
        <w:t>outcomes</w:t>
      </w:r>
      <w:proofErr w:type="spellEnd"/>
      <w:r>
        <w:t xml:space="preserve">.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 xml:space="preserve">Estudio observacional prospectivo multicéntrico de cohortes que incluyó 232 pacientes en 16 hospitales españoles. Se utilizó RPM en 176 de los pacientes y 56 fueron tratados sin RPM. SONG-PD </w:t>
      </w:r>
      <w:proofErr w:type="spellStart"/>
      <w:r>
        <w:t>outcomes</w:t>
      </w:r>
      <w:proofErr w:type="spellEnd"/>
      <w:r>
        <w:t xml:space="preserve">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proofErr w:type="gramStart"/>
      <w:r>
        <w:t>Mortalidad</w:t>
      </w:r>
      <w:proofErr w:type="gramEnd"/>
      <w:r>
        <w:t xml:space="preserve">: expresada como número de muertes durante el seguimiento. Supervivencia en técnica: evento compuesto como transferencia a HD &gt;30 días o </w:t>
      </w:r>
      <w:proofErr w:type="spellStart"/>
      <w:proofErr w:type="gramStart"/>
      <w:r>
        <w:t>muerte.El</w:t>
      </w:r>
      <w:proofErr w:type="spellEnd"/>
      <w:proofErr w:type="gramEnd"/>
      <w:r>
        <w:t xml:space="preserve"> tiempo de seguimiento fue al menos de 6 meses. Se utilizó </w:t>
      </w:r>
      <w:proofErr w:type="spellStart"/>
      <w:r>
        <w:t>propensity</w:t>
      </w:r>
      <w:proofErr w:type="spellEnd"/>
      <w:r>
        <w:t xml:space="preserve"> score </w:t>
      </w:r>
      <w:proofErr w:type="spellStart"/>
      <w:r>
        <w:t>matching</w:t>
      </w:r>
      <w:proofErr w:type="spellEnd"/>
      <w:r>
        <w:t xml:space="preserve">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Las características basales y demográficas se muestran en la Tabla 1. Previo PSM, la DPA con RPM (n=176) vs sin RPM (n=56) se asoció con menor mortalidad (n=1 vs n=</w:t>
      </w:r>
      <w:proofErr w:type="gramStart"/>
      <w:r>
        <w:t>4)(</w:t>
      </w:r>
      <w:proofErr w:type="gramEnd"/>
      <w:r>
        <w:t xml:space="preserve">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E44BF"/>
    <w:rsid w:val="000F58FA"/>
    <w:rsid w:val="00114F0C"/>
    <w:rsid w:val="00133FCB"/>
    <w:rsid w:val="00143043"/>
    <w:rsid w:val="001624FF"/>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36EB7"/>
    <w:rsid w:val="00440097"/>
    <w:rsid w:val="0047310F"/>
    <w:rsid w:val="004865AA"/>
    <w:rsid w:val="00531C48"/>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3</cp:revision>
  <dcterms:created xsi:type="dcterms:W3CDTF">2023-11-15T11:54:00Z</dcterms:created>
  <dcterms:modified xsi:type="dcterms:W3CDTF">2023-11-15T11:55:00Z</dcterms:modified>
</cp:coreProperties>
</file>