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950DA" w14:textId="43CD9E72" w:rsidR="00B67D46" w:rsidRPr="000B5AC8" w:rsidRDefault="008814AF" w:rsidP="003B79E3">
      <w:pPr>
        <w:jc w:val="both"/>
        <w:rPr>
          <w:rFonts w:asciiTheme="minorHAnsi" w:hAnsiTheme="minorHAnsi" w:cstheme="minorHAnsi"/>
          <w:b/>
          <w:sz w:val="24"/>
          <w:szCs w:val="24"/>
        </w:rPr>
      </w:pPr>
      <w:r>
        <w:rPr>
          <w:noProof/>
        </w:rPr>
        <w:drawing>
          <wp:anchor distT="0" distB="0" distL="114300" distR="114300" simplePos="0" relativeHeight="251659264" behindDoc="0" locked="0" layoutInCell="1" allowOverlap="1" wp14:anchorId="42445B3F" wp14:editId="0B5CC73F">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16D7F99C" w14:textId="524C1A5B" w:rsidR="00597662" w:rsidRPr="00597662" w:rsidRDefault="00597662" w:rsidP="00597662">
      <w:pPr>
        <w:jc w:val="center"/>
        <w:rPr>
          <w:rFonts w:asciiTheme="minorHAnsi" w:hAnsiTheme="minorHAnsi" w:cstheme="minorHAnsi"/>
          <w:b/>
          <w:sz w:val="32"/>
          <w:szCs w:val="32"/>
          <w:u w:val="single"/>
        </w:rPr>
      </w:pPr>
      <w:r w:rsidRPr="00597662">
        <w:rPr>
          <w:rFonts w:asciiTheme="minorHAnsi" w:hAnsiTheme="minorHAnsi" w:cstheme="minorHAnsi"/>
          <w:b/>
          <w:sz w:val="32"/>
          <w:szCs w:val="32"/>
          <w:u w:val="single"/>
        </w:rPr>
        <w:t>NOTA DE PRENSA</w:t>
      </w:r>
    </w:p>
    <w:p w14:paraId="29A4A80A" w14:textId="77777777" w:rsidR="00E420F5" w:rsidRDefault="00E420F5" w:rsidP="00E420F5">
      <w:pPr>
        <w:jc w:val="both"/>
        <w:rPr>
          <w:rFonts w:asciiTheme="minorHAnsi" w:hAnsiTheme="minorHAnsi" w:cstheme="minorHAnsi"/>
          <w:b/>
          <w:sz w:val="28"/>
          <w:szCs w:val="28"/>
          <w:u w:val="single"/>
        </w:rPr>
      </w:pPr>
    </w:p>
    <w:p w14:paraId="197C0811" w14:textId="349740FB" w:rsidR="00E420F5" w:rsidRDefault="00E420F5" w:rsidP="00E420F5">
      <w:pPr>
        <w:jc w:val="both"/>
        <w:rPr>
          <w:rFonts w:asciiTheme="minorHAnsi" w:hAnsiTheme="minorHAnsi" w:cstheme="minorHAnsi"/>
          <w:b/>
          <w:sz w:val="28"/>
          <w:szCs w:val="28"/>
          <w:u w:val="single"/>
        </w:rPr>
      </w:pPr>
      <w:r>
        <w:rPr>
          <w:rFonts w:asciiTheme="minorHAnsi" w:hAnsiTheme="minorHAnsi" w:cstheme="minorHAnsi"/>
          <w:b/>
          <w:sz w:val="28"/>
          <w:szCs w:val="28"/>
          <w:u w:val="single"/>
        </w:rPr>
        <w:t>Hoy se celebra el Día Mundial de la Diabetes</w:t>
      </w:r>
    </w:p>
    <w:p w14:paraId="2A96A7F0" w14:textId="77777777" w:rsidR="00597662" w:rsidRDefault="00597662" w:rsidP="003B79E3">
      <w:pPr>
        <w:jc w:val="both"/>
        <w:rPr>
          <w:rFonts w:asciiTheme="minorHAnsi" w:hAnsiTheme="minorHAnsi" w:cstheme="minorHAnsi"/>
          <w:b/>
          <w:sz w:val="32"/>
          <w:szCs w:val="32"/>
        </w:rPr>
      </w:pPr>
    </w:p>
    <w:p w14:paraId="615FA96A" w14:textId="51865C7A" w:rsidR="008E36F9" w:rsidRPr="00597662" w:rsidRDefault="008E36F9" w:rsidP="003B79E3">
      <w:pPr>
        <w:jc w:val="both"/>
        <w:rPr>
          <w:rFonts w:asciiTheme="minorHAnsi" w:hAnsiTheme="minorHAnsi" w:cstheme="minorHAnsi"/>
          <w:b/>
          <w:sz w:val="32"/>
          <w:szCs w:val="32"/>
        </w:rPr>
      </w:pPr>
      <w:r w:rsidRPr="00597662">
        <w:rPr>
          <w:rFonts w:asciiTheme="minorHAnsi" w:hAnsiTheme="minorHAnsi" w:cstheme="minorHAnsi"/>
          <w:b/>
          <w:sz w:val="32"/>
          <w:szCs w:val="32"/>
        </w:rPr>
        <w:t xml:space="preserve">UN ESTUDIO </w:t>
      </w:r>
      <w:r w:rsidR="00FE6697" w:rsidRPr="00597662">
        <w:rPr>
          <w:rFonts w:asciiTheme="minorHAnsi" w:hAnsiTheme="minorHAnsi" w:cstheme="minorHAnsi"/>
          <w:b/>
          <w:sz w:val="32"/>
          <w:szCs w:val="32"/>
        </w:rPr>
        <w:t>REALIZADO EN TRES HOSPITALES ANDALUCES</w:t>
      </w:r>
      <w:r w:rsidRPr="00597662">
        <w:rPr>
          <w:rFonts w:asciiTheme="minorHAnsi" w:hAnsiTheme="minorHAnsi" w:cstheme="minorHAnsi"/>
          <w:b/>
          <w:sz w:val="32"/>
          <w:szCs w:val="32"/>
        </w:rPr>
        <w:t xml:space="preserve"> DEMUESTRA POR PRIMERA VEZ </w:t>
      </w:r>
      <w:r w:rsidR="002A18A4" w:rsidRPr="00597662">
        <w:rPr>
          <w:rFonts w:asciiTheme="minorHAnsi" w:hAnsiTheme="minorHAnsi" w:cstheme="minorHAnsi"/>
          <w:b/>
          <w:sz w:val="32"/>
          <w:szCs w:val="32"/>
        </w:rPr>
        <w:t>QUE LOS NUEVOS TRATAMIENTOS PARA LA DIABETES</w:t>
      </w:r>
      <w:r w:rsidR="00BE73D0" w:rsidRPr="00597662">
        <w:rPr>
          <w:rFonts w:asciiTheme="minorHAnsi" w:hAnsiTheme="minorHAnsi" w:cstheme="minorHAnsi"/>
          <w:b/>
          <w:sz w:val="32"/>
          <w:szCs w:val="32"/>
        </w:rPr>
        <w:t xml:space="preserve"> </w:t>
      </w:r>
      <w:r w:rsidR="002A18A4" w:rsidRPr="00597662">
        <w:rPr>
          <w:rFonts w:asciiTheme="minorHAnsi" w:hAnsiTheme="minorHAnsi" w:cstheme="minorHAnsi"/>
          <w:b/>
          <w:sz w:val="32"/>
          <w:szCs w:val="32"/>
        </w:rPr>
        <w:t>(</w:t>
      </w:r>
      <w:r w:rsidR="00511ED3" w:rsidRPr="00597662">
        <w:rPr>
          <w:rFonts w:asciiTheme="minorHAnsi" w:hAnsiTheme="minorHAnsi" w:cstheme="minorHAnsi"/>
          <w:b/>
          <w:sz w:val="32"/>
          <w:szCs w:val="32"/>
        </w:rPr>
        <w:t>AGONISTAS DEL GLP1</w:t>
      </w:r>
      <w:r w:rsidR="00BE73D0" w:rsidRPr="00597662">
        <w:rPr>
          <w:rFonts w:asciiTheme="minorHAnsi" w:hAnsiTheme="minorHAnsi" w:cstheme="minorHAnsi"/>
          <w:b/>
          <w:sz w:val="32"/>
          <w:szCs w:val="32"/>
        </w:rPr>
        <w:t>) SON SEGUROS EN</w:t>
      </w:r>
      <w:r w:rsidR="00511ED3" w:rsidRPr="00597662">
        <w:rPr>
          <w:rFonts w:asciiTheme="minorHAnsi" w:hAnsiTheme="minorHAnsi" w:cstheme="minorHAnsi"/>
          <w:b/>
          <w:sz w:val="32"/>
          <w:szCs w:val="32"/>
        </w:rPr>
        <w:t xml:space="preserve"> </w:t>
      </w:r>
      <w:r w:rsidRPr="00597662">
        <w:rPr>
          <w:rFonts w:asciiTheme="minorHAnsi" w:hAnsiTheme="minorHAnsi" w:cstheme="minorHAnsi"/>
          <w:b/>
          <w:sz w:val="32"/>
          <w:szCs w:val="32"/>
        </w:rPr>
        <w:t xml:space="preserve">PACIENTES </w:t>
      </w:r>
      <w:r w:rsidR="002A18A4" w:rsidRPr="00597662">
        <w:rPr>
          <w:rFonts w:asciiTheme="minorHAnsi" w:hAnsiTheme="minorHAnsi" w:cstheme="minorHAnsi"/>
          <w:b/>
          <w:sz w:val="32"/>
          <w:szCs w:val="32"/>
        </w:rPr>
        <w:t>CON TRASPLANTE RENAL</w:t>
      </w:r>
      <w:r w:rsidRPr="00597662">
        <w:rPr>
          <w:rFonts w:asciiTheme="minorHAnsi" w:hAnsiTheme="minorHAnsi" w:cstheme="minorHAnsi"/>
          <w:b/>
          <w:sz w:val="32"/>
          <w:szCs w:val="32"/>
        </w:rPr>
        <w:t xml:space="preserve"> </w:t>
      </w:r>
    </w:p>
    <w:p w14:paraId="2DF328D7" w14:textId="77777777" w:rsidR="008E36F9" w:rsidRDefault="008E36F9" w:rsidP="003B79E3">
      <w:pPr>
        <w:jc w:val="both"/>
        <w:rPr>
          <w:rFonts w:asciiTheme="minorHAnsi" w:hAnsiTheme="minorHAnsi" w:cstheme="minorHAnsi"/>
          <w:b/>
          <w:sz w:val="36"/>
          <w:szCs w:val="36"/>
        </w:rPr>
      </w:pPr>
    </w:p>
    <w:p w14:paraId="64729812" w14:textId="75B99CD5" w:rsidR="008E36F9" w:rsidRPr="00BE73D0" w:rsidRDefault="008E36F9" w:rsidP="003B79E3">
      <w:pPr>
        <w:jc w:val="both"/>
        <w:rPr>
          <w:rFonts w:asciiTheme="minorHAnsi" w:hAnsiTheme="minorHAnsi" w:cstheme="minorHAnsi"/>
          <w:b/>
          <w:sz w:val="28"/>
          <w:szCs w:val="28"/>
        </w:rPr>
      </w:pPr>
      <w:r w:rsidRPr="00BE73D0">
        <w:rPr>
          <w:rFonts w:asciiTheme="minorHAnsi" w:hAnsiTheme="minorHAnsi" w:cstheme="minorHAnsi"/>
          <w:b/>
          <w:sz w:val="28"/>
          <w:szCs w:val="28"/>
        </w:rPr>
        <w:t>Se trata del primer estudio multicéntrico realizado al respecto: en ninguno de los 96 pacientes a los que se hizo seguimiento se document</w:t>
      </w:r>
      <w:r w:rsidR="002A18A4" w:rsidRPr="00BE73D0">
        <w:rPr>
          <w:rFonts w:asciiTheme="minorHAnsi" w:hAnsiTheme="minorHAnsi" w:cstheme="minorHAnsi"/>
          <w:b/>
          <w:sz w:val="28"/>
          <w:szCs w:val="28"/>
        </w:rPr>
        <w:t>aron</w:t>
      </w:r>
      <w:r w:rsidRPr="00BE73D0">
        <w:rPr>
          <w:rFonts w:asciiTheme="minorHAnsi" w:hAnsiTheme="minorHAnsi" w:cstheme="minorHAnsi"/>
          <w:b/>
          <w:sz w:val="28"/>
          <w:szCs w:val="28"/>
        </w:rPr>
        <w:t xml:space="preserve"> episodios de rechazo agudo</w:t>
      </w:r>
      <w:r w:rsidR="00FE6697" w:rsidRPr="00BE73D0">
        <w:rPr>
          <w:rFonts w:asciiTheme="minorHAnsi" w:hAnsiTheme="minorHAnsi" w:cstheme="minorHAnsi"/>
          <w:b/>
          <w:sz w:val="28"/>
          <w:szCs w:val="28"/>
        </w:rPr>
        <w:t xml:space="preserve"> ni desarrollo de anticuerpos donantes específicos</w:t>
      </w:r>
      <w:r w:rsidR="00774CE9">
        <w:rPr>
          <w:rFonts w:asciiTheme="minorHAnsi" w:hAnsiTheme="minorHAnsi" w:cstheme="minorHAnsi"/>
          <w:b/>
          <w:sz w:val="28"/>
          <w:szCs w:val="28"/>
        </w:rPr>
        <w:t>.</w:t>
      </w:r>
    </w:p>
    <w:p w14:paraId="1B40CDD2" w14:textId="77777777" w:rsidR="00FE6697" w:rsidRPr="00BE73D0" w:rsidRDefault="00FE6697" w:rsidP="003B79E3">
      <w:pPr>
        <w:jc w:val="both"/>
        <w:rPr>
          <w:rFonts w:asciiTheme="minorHAnsi" w:hAnsiTheme="minorHAnsi" w:cstheme="minorHAnsi"/>
          <w:b/>
          <w:sz w:val="28"/>
          <w:szCs w:val="28"/>
        </w:rPr>
      </w:pPr>
    </w:p>
    <w:p w14:paraId="2024BE9E" w14:textId="4C9BEDB3" w:rsidR="00FE6697" w:rsidRPr="00BE73D0" w:rsidRDefault="00FE6697" w:rsidP="00FE6697">
      <w:pPr>
        <w:jc w:val="both"/>
        <w:rPr>
          <w:rFonts w:asciiTheme="minorHAnsi" w:hAnsiTheme="minorHAnsi" w:cstheme="minorHAnsi"/>
          <w:b/>
          <w:sz w:val="28"/>
          <w:szCs w:val="28"/>
        </w:rPr>
      </w:pPr>
      <w:r w:rsidRPr="00BE73D0">
        <w:rPr>
          <w:rFonts w:asciiTheme="minorHAnsi" w:hAnsiTheme="minorHAnsi" w:cstheme="minorHAnsi"/>
          <w:b/>
          <w:sz w:val="28"/>
          <w:szCs w:val="28"/>
        </w:rPr>
        <w:t>La investigación, presentada en el 53 Congreso Nacional de la Sociedad Española de Nefrología, concluye que este fármaco “puede ser una opción” para el manejo de la diabetes tipo 2 en estos pacientes</w:t>
      </w:r>
      <w:r w:rsidR="00597662">
        <w:rPr>
          <w:rFonts w:asciiTheme="minorHAnsi" w:hAnsiTheme="minorHAnsi" w:cstheme="minorHAnsi"/>
          <w:b/>
          <w:sz w:val="28"/>
          <w:szCs w:val="28"/>
        </w:rPr>
        <w:t>.</w:t>
      </w:r>
    </w:p>
    <w:p w14:paraId="3CB17842" w14:textId="77777777" w:rsidR="00511ED3" w:rsidRPr="00511ED3" w:rsidRDefault="00511ED3" w:rsidP="003B79E3">
      <w:pPr>
        <w:jc w:val="both"/>
        <w:rPr>
          <w:rFonts w:asciiTheme="minorHAnsi" w:hAnsiTheme="minorHAnsi" w:cstheme="minorHAnsi"/>
          <w:b/>
          <w:sz w:val="28"/>
          <w:szCs w:val="28"/>
        </w:rPr>
      </w:pPr>
    </w:p>
    <w:p w14:paraId="67F95EB7" w14:textId="77777777" w:rsidR="00597662" w:rsidRDefault="00597662" w:rsidP="009355ED">
      <w:pPr>
        <w:jc w:val="both"/>
        <w:rPr>
          <w:rFonts w:asciiTheme="minorHAnsi" w:hAnsiTheme="minorHAnsi" w:cstheme="minorHAnsi"/>
          <w:b/>
          <w:bCs/>
          <w:color w:val="000000"/>
          <w:spacing w:val="6"/>
          <w:sz w:val="24"/>
          <w:szCs w:val="24"/>
          <w:shd w:val="clear" w:color="auto" w:fill="FFFFFF"/>
        </w:rPr>
      </w:pPr>
    </w:p>
    <w:p w14:paraId="7F5F530A" w14:textId="083EA05D" w:rsidR="009355ED" w:rsidRPr="00597662" w:rsidRDefault="00597662" w:rsidP="009355ED">
      <w:pPr>
        <w:jc w:val="both"/>
        <w:rPr>
          <w:rFonts w:asciiTheme="minorHAnsi" w:hAnsiTheme="minorHAnsi" w:cstheme="minorHAnsi"/>
          <w:sz w:val="24"/>
          <w:szCs w:val="24"/>
        </w:rPr>
      </w:pPr>
      <w:r w:rsidRPr="00597662">
        <w:rPr>
          <w:rFonts w:asciiTheme="minorHAnsi" w:hAnsiTheme="minorHAnsi" w:cstheme="minorHAnsi"/>
          <w:b/>
          <w:bCs/>
          <w:color w:val="000000"/>
          <w:spacing w:val="6"/>
          <w:sz w:val="24"/>
          <w:szCs w:val="24"/>
          <w:shd w:val="clear" w:color="auto" w:fill="FFFFFF"/>
        </w:rPr>
        <w:t xml:space="preserve">14 de noviembre.- </w:t>
      </w:r>
      <w:r w:rsidR="009355ED" w:rsidRPr="00597662">
        <w:rPr>
          <w:rFonts w:asciiTheme="minorHAnsi" w:hAnsiTheme="minorHAnsi" w:cstheme="minorHAnsi"/>
          <w:color w:val="000000"/>
          <w:spacing w:val="6"/>
          <w:sz w:val="24"/>
          <w:szCs w:val="24"/>
          <w:shd w:val="clear" w:color="auto" w:fill="FFFFFF"/>
        </w:rPr>
        <w:t>La Enfermedad Renal Crónica</w:t>
      </w:r>
      <w:r w:rsidR="00BE73D0" w:rsidRPr="00597662">
        <w:rPr>
          <w:rFonts w:asciiTheme="minorHAnsi" w:hAnsiTheme="minorHAnsi" w:cstheme="minorHAnsi"/>
          <w:color w:val="000000"/>
          <w:spacing w:val="6"/>
          <w:sz w:val="24"/>
          <w:szCs w:val="24"/>
          <w:shd w:val="clear" w:color="auto" w:fill="FFFFFF"/>
        </w:rPr>
        <w:t xml:space="preserve"> (ERC)</w:t>
      </w:r>
      <w:r w:rsidR="009355ED" w:rsidRPr="00597662">
        <w:rPr>
          <w:rFonts w:asciiTheme="minorHAnsi" w:hAnsiTheme="minorHAnsi" w:cstheme="minorHAnsi"/>
          <w:color w:val="000000"/>
          <w:spacing w:val="6"/>
          <w:sz w:val="24"/>
          <w:szCs w:val="24"/>
          <w:shd w:val="clear" w:color="auto" w:fill="FFFFFF"/>
        </w:rPr>
        <w:t xml:space="preserve"> ha aumentado casi un 30% en la última década y hoy se estima que la sufren cerca de 7 millones de españoles: su principal causa es la diabetes tipo 2. De todos estos pacientes hay un porcentaje cada vez más relevante, que presenta la función renal muy disminuida. Estos pacientes, los más graves, más de 6</w:t>
      </w:r>
      <w:r>
        <w:rPr>
          <w:rFonts w:asciiTheme="minorHAnsi" w:hAnsiTheme="minorHAnsi" w:cstheme="minorHAnsi"/>
          <w:color w:val="000000"/>
          <w:spacing w:val="6"/>
          <w:sz w:val="24"/>
          <w:szCs w:val="24"/>
          <w:shd w:val="clear" w:color="auto" w:fill="FFFFFF"/>
        </w:rPr>
        <w:t>6</w:t>
      </w:r>
      <w:r w:rsidR="009355ED" w:rsidRPr="00597662">
        <w:rPr>
          <w:rFonts w:asciiTheme="minorHAnsi" w:hAnsiTheme="minorHAnsi" w:cstheme="minorHAnsi"/>
          <w:color w:val="000000"/>
          <w:spacing w:val="6"/>
          <w:sz w:val="24"/>
          <w:szCs w:val="24"/>
          <w:shd w:val="clear" w:color="auto" w:fill="FFFFFF"/>
        </w:rPr>
        <w:t>.000, necesitan un tratamiento que reemplace la función de sus riñones: </w:t>
      </w:r>
      <w:r w:rsidR="009355ED" w:rsidRPr="00597662">
        <w:rPr>
          <w:rStyle w:val="Textoennegrita"/>
          <w:rFonts w:asciiTheme="minorHAnsi" w:hAnsiTheme="minorHAnsi" w:cstheme="minorHAnsi"/>
          <w:b w:val="0"/>
          <w:spacing w:val="6"/>
          <w:sz w:val="24"/>
          <w:szCs w:val="24"/>
          <w:bdr w:val="none" w:sz="0" w:space="0" w:color="auto" w:frame="1"/>
          <w:shd w:val="clear" w:color="auto" w:fill="FFFFFF"/>
        </w:rPr>
        <w:t>diálisis </w:t>
      </w:r>
      <w:hyperlink r:id="rId10" w:history="1">
        <w:r w:rsidR="009355ED" w:rsidRPr="00597662">
          <w:rPr>
            <w:rStyle w:val="Hipervnculo"/>
            <w:rFonts w:asciiTheme="minorHAnsi" w:hAnsiTheme="minorHAnsi" w:cstheme="minorHAnsi"/>
            <w:color w:val="auto"/>
            <w:spacing w:val="6"/>
            <w:sz w:val="24"/>
            <w:szCs w:val="24"/>
            <w:u w:val="none"/>
            <w:bdr w:val="none" w:sz="0" w:space="0" w:color="auto" w:frame="1"/>
            <w:shd w:val="clear" w:color="auto" w:fill="FFFFFF"/>
          </w:rPr>
          <w:t>o trasplante</w:t>
        </w:r>
      </w:hyperlink>
      <w:r w:rsidR="009355ED" w:rsidRPr="00597662">
        <w:rPr>
          <w:rFonts w:asciiTheme="minorHAnsi" w:hAnsiTheme="minorHAnsi" w:cstheme="minorHAnsi"/>
          <w:spacing w:val="6"/>
          <w:sz w:val="24"/>
          <w:szCs w:val="24"/>
          <w:shd w:val="clear" w:color="auto" w:fill="FFFFFF"/>
        </w:rPr>
        <w:t>.</w:t>
      </w:r>
      <w:r w:rsidR="009355ED" w:rsidRPr="00597662">
        <w:rPr>
          <w:rFonts w:asciiTheme="minorHAnsi" w:hAnsiTheme="minorHAnsi" w:cstheme="minorHAnsi"/>
          <w:sz w:val="24"/>
          <w:szCs w:val="24"/>
        </w:rPr>
        <w:t xml:space="preserve"> Cuando está indicada y resulta posible, esta última opción es la mejor para el paciente. De ahí que, entre los últimos diez años, entre 2</w:t>
      </w:r>
      <w:r w:rsidR="002A18A4" w:rsidRPr="00597662">
        <w:rPr>
          <w:rFonts w:asciiTheme="minorHAnsi" w:hAnsiTheme="minorHAnsi" w:cstheme="minorHAnsi"/>
          <w:sz w:val="24"/>
          <w:szCs w:val="24"/>
        </w:rPr>
        <w:t>.</w:t>
      </w:r>
      <w:r w:rsidR="009355ED" w:rsidRPr="00597662">
        <w:rPr>
          <w:rFonts w:asciiTheme="minorHAnsi" w:hAnsiTheme="minorHAnsi" w:cstheme="minorHAnsi"/>
          <w:sz w:val="24"/>
          <w:szCs w:val="24"/>
        </w:rPr>
        <w:t>500 y 3</w:t>
      </w:r>
      <w:r w:rsidR="002A18A4" w:rsidRPr="00597662">
        <w:rPr>
          <w:rFonts w:asciiTheme="minorHAnsi" w:hAnsiTheme="minorHAnsi" w:cstheme="minorHAnsi"/>
          <w:sz w:val="24"/>
          <w:szCs w:val="24"/>
        </w:rPr>
        <w:t>.</w:t>
      </w:r>
      <w:r w:rsidR="009355ED" w:rsidRPr="00597662">
        <w:rPr>
          <w:rFonts w:asciiTheme="minorHAnsi" w:hAnsiTheme="minorHAnsi" w:cstheme="minorHAnsi"/>
          <w:sz w:val="24"/>
          <w:szCs w:val="24"/>
        </w:rPr>
        <w:t>500 pacientes ha</w:t>
      </w:r>
      <w:r w:rsidR="009A61F6" w:rsidRPr="00597662">
        <w:rPr>
          <w:rFonts w:asciiTheme="minorHAnsi" w:hAnsiTheme="minorHAnsi" w:cstheme="minorHAnsi"/>
          <w:sz w:val="24"/>
          <w:szCs w:val="24"/>
        </w:rPr>
        <w:t>ya</w:t>
      </w:r>
      <w:r w:rsidR="009355ED" w:rsidRPr="00597662">
        <w:rPr>
          <w:rFonts w:asciiTheme="minorHAnsi" w:hAnsiTheme="minorHAnsi" w:cstheme="minorHAnsi"/>
          <w:sz w:val="24"/>
          <w:szCs w:val="24"/>
        </w:rPr>
        <w:t>n recibido cada año un trasplante de riñón</w:t>
      </w:r>
      <w:r w:rsidR="009A61F6" w:rsidRPr="00597662">
        <w:rPr>
          <w:rFonts w:asciiTheme="minorHAnsi" w:hAnsiTheme="minorHAnsi" w:cstheme="minorHAnsi"/>
          <w:sz w:val="24"/>
          <w:szCs w:val="24"/>
        </w:rPr>
        <w:t xml:space="preserve"> en nuestro país</w:t>
      </w:r>
      <w:r w:rsidR="009355ED" w:rsidRPr="00597662">
        <w:rPr>
          <w:rFonts w:asciiTheme="minorHAnsi" w:hAnsiTheme="minorHAnsi" w:cstheme="minorHAnsi"/>
          <w:sz w:val="24"/>
          <w:szCs w:val="24"/>
        </w:rPr>
        <w:t xml:space="preserve">. </w:t>
      </w:r>
      <w:r w:rsidR="000F7935" w:rsidRPr="00597662">
        <w:rPr>
          <w:rFonts w:asciiTheme="minorHAnsi" w:hAnsiTheme="minorHAnsi" w:cstheme="minorHAnsi"/>
          <w:sz w:val="24"/>
          <w:szCs w:val="24"/>
        </w:rPr>
        <w:t>Muchos de ellos ya presentaban diabetes tipo 2 y otros la desarrollan después del trasplante: c</w:t>
      </w:r>
      <w:r w:rsidR="009355ED" w:rsidRPr="00597662">
        <w:rPr>
          <w:rFonts w:asciiTheme="minorHAnsi" w:hAnsiTheme="minorHAnsi" w:cstheme="minorHAnsi"/>
          <w:sz w:val="24"/>
          <w:szCs w:val="24"/>
        </w:rPr>
        <w:t>ontrolar</w:t>
      </w:r>
      <w:r w:rsidR="000F7935" w:rsidRPr="00597662">
        <w:rPr>
          <w:rFonts w:asciiTheme="minorHAnsi" w:hAnsiTheme="minorHAnsi" w:cstheme="minorHAnsi"/>
          <w:sz w:val="24"/>
          <w:szCs w:val="24"/>
        </w:rPr>
        <w:t>la</w:t>
      </w:r>
      <w:r w:rsidR="009355ED" w:rsidRPr="00597662">
        <w:rPr>
          <w:rFonts w:asciiTheme="minorHAnsi" w:hAnsiTheme="minorHAnsi" w:cstheme="minorHAnsi"/>
          <w:sz w:val="24"/>
          <w:szCs w:val="24"/>
        </w:rPr>
        <w:t xml:space="preserve"> </w:t>
      </w:r>
      <w:r w:rsidR="000F7935" w:rsidRPr="00597662">
        <w:rPr>
          <w:rFonts w:asciiTheme="minorHAnsi" w:hAnsiTheme="minorHAnsi" w:cstheme="minorHAnsi"/>
          <w:sz w:val="24"/>
          <w:szCs w:val="24"/>
        </w:rPr>
        <w:t>es</w:t>
      </w:r>
      <w:r w:rsidR="009355ED" w:rsidRPr="00597662">
        <w:rPr>
          <w:rFonts w:asciiTheme="minorHAnsi" w:hAnsiTheme="minorHAnsi" w:cstheme="minorHAnsi"/>
          <w:sz w:val="24"/>
          <w:szCs w:val="24"/>
        </w:rPr>
        <w:t xml:space="preserve"> un objetivo fundamental </w:t>
      </w:r>
      <w:r w:rsidR="000F7935" w:rsidRPr="00597662">
        <w:rPr>
          <w:rFonts w:asciiTheme="minorHAnsi" w:hAnsiTheme="minorHAnsi" w:cstheme="minorHAnsi"/>
          <w:sz w:val="24"/>
          <w:szCs w:val="24"/>
        </w:rPr>
        <w:t>para evitar el deterioro de su salud</w:t>
      </w:r>
      <w:r w:rsidR="009355ED" w:rsidRPr="00597662">
        <w:rPr>
          <w:rFonts w:asciiTheme="minorHAnsi" w:hAnsiTheme="minorHAnsi" w:cstheme="minorHAnsi"/>
          <w:sz w:val="24"/>
          <w:szCs w:val="24"/>
        </w:rPr>
        <w:t>.</w:t>
      </w:r>
    </w:p>
    <w:p w14:paraId="0701A963" w14:textId="77777777" w:rsidR="009355ED" w:rsidRPr="00597662" w:rsidRDefault="009355ED" w:rsidP="009355ED">
      <w:pPr>
        <w:jc w:val="both"/>
        <w:rPr>
          <w:rFonts w:asciiTheme="minorHAnsi" w:hAnsiTheme="minorHAnsi" w:cstheme="minorHAnsi"/>
          <w:sz w:val="24"/>
          <w:szCs w:val="24"/>
        </w:rPr>
      </w:pPr>
    </w:p>
    <w:p w14:paraId="65CBED17" w14:textId="41102838" w:rsidR="009355ED" w:rsidRPr="00597662" w:rsidRDefault="009A61F6" w:rsidP="009355ED">
      <w:pPr>
        <w:jc w:val="both"/>
        <w:rPr>
          <w:rFonts w:asciiTheme="minorHAnsi" w:hAnsiTheme="minorHAnsi" w:cstheme="minorHAnsi"/>
          <w:sz w:val="24"/>
          <w:szCs w:val="24"/>
        </w:rPr>
      </w:pPr>
      <w:r w:rsidRPr="00597662">
        <w:rPr>
          <w:rFonts w:asciiTheme="minorHAnsi" w:hAnsiTheme="minorHAnsi" w:cstheme="minorHAnsi"/>
          <w:sz w:val="24"/>
          <w:szCs w:val="24"/>
        </w:rPr>
        <w:t>Ahora, un estudio realizado en tres hospitales andaluces de la provincia de Cádiz</w:t>
      </w:r>
      <w:r w:rsidR="00BE73D0" w:rsidRPr="00597662">
        <w:rPr>
          <w:rFonts w:asciiTheme="minorHAnsi" w:hAnsiTheme="minorHAnsi" w:cstheme="minorHAnsi"/>
          <w:sz w:val="24"/>
          <w:szCs w:val="24"/>
        </w:rPr>
        <w:t xml:space="preserve"> </w:t>
      </w:r>
      <w:r w:rsidRPr="00597662">
        <w:rPr>
          <w:rFonts w:asciiTheme="minorHAnsi" w:hAnsiTheme="minorHAnsi" w:cstheme="minorHAnsi"/>
          <w:sz w:val="24"/>
          <w:szCs w:val="24"/>
        </w:rPr>
        <w:t>acaba de evaluar por primera vez los beneficios que podrían tener</w:t>
      </w:r>
      <w:r w:rsidRPr="00597662">
        <w:rPr>
          <w:rFonts w:asciiTheme="minorHAnsi" w:eastAsia="Times New Roman" w:hAnsiTheme="minorHAnsi" w:cstheme="minorHAnsi"/>
          <w:color w:val="191919"/>
          <w:sz w:val="24"/>
          <w:szCs w:val="24"/>
        </w:rPr>
        <w:t xml:space="preserve"> en estos pacientes trasplantados</w:t>
      </w:r>
      <w:r w:rsidRPr="00597662">
        <w:rPr>
          <w:rFonts w:asciiTheme="minorHAnsi" w:hAnsiTheme="minorHAnsi" w:cstheme="minorHAnsi"/>
          <w:sz w:val="24"/>
          <w:szCs w:val="24"/>
        </w:rPr>
        <w:t xml:space="preserve"> los </w:t>
      </w:r>
      <w:r w:rsidR="00BE73D0" w:rsidRPr="00597662">
        <w:rPr>
          <w:rFonts w:asciiTheme="minorHAnsi" w:hAnsiTheme="minorHAnsi" w:cstheme="minorHAnsi"/>
          <w:sz w:val="24"/>
          <w:szCs w:val="24"/>
        </w:rPr>
        <w:t xml:space="preserve">nuevos fármacos para la diabetes, los </w:t>
      </w:r>
      <w:r w:rsidR="009355ED" w:rsidRPr="00597662">
        <w:rPr>
          <w:rFonts w:asciiTheme="minorHAnsi" w:eastAsia="Times New Roman" w:hAnsiTheme="minorHAnsi" w:cstheme="minorHAnsi"/>
          <w:color w:val="191919"/>
          <w:sz w:val="24"/>
          <w:szCs w:val="24"/>
        </w:rPr>
        <w:t>agonistas del GLP1</w:t>
      </w:r>
      <w:r w:rsidRPr="00597662">
        <w:rPr>
          <w:rFonts w:asciiTheme="minorHAnsi" w:eastAsia="Times New Roman" w:hAnsiTheme="minorHAnsi" w:cstheme="minorHAnsi"/>
          <w:color w:val="191919"/>
          <w:sz w:val="24"/>
          <w:szCs w:val="24"/>
        </w:rPr>
        <w:t xml:space="preserve">. </w:t>
      </w:r>
      <w:r w:rsidR="00BE73D0" w:rsidRPr="00597662">
        <w:rPr>
          <w:rFonts w:asciiTheme="minorHAnsi" w:eastAsia="Times New Roman" w:hAnsiTheme="minorHAnsi" w:cstheme="minorHAnsi"/>
          <w:color w:val="191919"/>
          <w:sz w:val="24"/>
          <w:szCs w:val="24"/>
        </w:rPr>
        <w:t xml:space="preserve">Se trata del </w:t>
      </w:r>
      <w:r w:rsidRPr="00597662">
        <w:rPr>
          <w:rFonts w:asciiTheme="minorHAnsi" w:eastAsia="Times New Roman" w:hAnsiTheme="minorHAnsi" w:cstheme="minorHAnsi"/>
          <w:color w:val="191919"/>
          <w:sz w:val="24"/>
          <w:szCs w:val="24"/>
        </w:rPr>
        <w:t>primer</w:t>
      </w:r>
      <w:r w:rsidR="00BE73D0" w:rsidRPr="00597662">
        <w:rPr>
          <w:rFonts w:asciiTheme="minorHAnsi" w:eastAsia="Times New Roman" w:hAnsiTheme="minorHAnsi" w:cstheme="minorHAnsi"/>
          <w:color w:val="191919"/>
          <w:sz w:val="24"/>
          <w:szCs w:val="24"/>
        </w:rPr>
        <w:t xml:space="preserve"> estudio</w:t>
      </w:r>
      <w:r w:rsidRPr="00597662">
        <w:rPr>
          <w:rFonts w:asciiTheme="minorHAnsi" w:eastAsia="Times New Roman" w:hAnsiTheme="minorHAnsi" w:cstheme="minorHAnsi"/>
          <w:color w:val="191919"/>
          <w:sz w:val="24"/>
          <w:szCs w:val="24"/>
        </w:rPr>
        <w:t xml:space="preserve"> multicéntric</w:t>
      </w:r>
      <w:r w:rsidR="00BE73D0" w:rsidRPr="00597662">
        <w:rPr>
          <w:rFonts w:asciiTheme="minorHAnsi" w:eastAsia="Times New Roman" w:hAnsiTheme="minorHAnsi" w:cstheme="minorHAnsi"/>
          <w:color w:val="191919"/>
          <w:sz w:val="24"/>
          <w:szCs w:val="24"/>
        </w:rPr>
        <w:t>o</w:t>
      </w:r>
      <w:r w:rsidRPr="00597662">
        <w:rPr>
          <w:rFonts w:asciiTheme="minorHAnsi" w:eastAsia="Times New Roman" w:hAnsiTheme="minorHAnsi" w:cstheme="minorHAnsi"/>
          <w:color w:val="191919"/>
          <w:sz w:val="24"/>
          <w:szCs w:val="24"/>
        </w:rPr>
        <w:t xml:space="preserve"> que reporta la eficacia y seguridad de estos medicamentos </w:t>
      </w:r>
      <w:r w:rsidRPr="00597662">
        <w:rPr>
          <w:rFonts w:asciiTheme="minorHAnsi" w:eastAsia="Times New Roman" w:hAnsiTheme="minorHAnsi" w:cstheme="minorHAnsi"/>
          <w:color w:val="191919"/>
          <w:sz w:val="24"/>
          <w:szCs w:val="24"/>
        </w:rPr>
        <w:lastRenderedPageBreak/>
        <w:t>en pacientes trasplantados, avala</w:t>
      </w:r>
      <w:r w:rsidR="00BE73D0" w:rsidRPr="00597662">
        <w:rPr>
          <w:rFonts w:asciiTheme="minorHAnsi" w:eastAsia="Times New Roman" w:hAnsiTheme="minorHAnsi" w:cstheme="minorHAnsi"/>
          <w:color w:val="191919"/>
          <w:sz w:val="24"/>
          <w:szCs w:val="24"/>
        </w:rPr>
        <w:t>ndo</w:t>
      </w:r>
      <w:r w:rsidRPr="00597662">
        <w:rPr>
          <w:rFonts w:asciiTheme="minorHAnsi" w:eastAsia="Times New Roman" w:hAnsiTheme="minorHAnsi" w:cstheme="minorHAnsi"/>
          <w:color w:val="191919"/>
          <w:sz w:val="24"/>
          <w:szCs w:val="24"/>
        </w:rPr>
        <w:t xml:space="preserve"> su uso para el tratamiento de la diabetes mellitus también en estos pacientes. </w:t>
      </w:r>
    </w:p>
    <w:p w14:paraId="5B53790D" w14:textId="77777777" w:rsidR="009355ED" w:rsidRPr="00597662" w:rsidRDefault="009355ED" w:rsidP="003B79E3">
      <w:pPr>
        <w:jc w:val="both"/>
        <w:rPr>
          <w:rFonts w:ascii="Times New Roman" w:eastAsia="Times New Roman" w:hAnsi="Times New Roman" w:cs="Times New Roman"/>
          <w:color w:val="191919"/>
          <w:sz w:val="24"/>
          <w:szCs w:val="24"/>
        </w:rPr>
      </w:pPr>
    </w:p>
    <w:p w14:paraId="6CAD526F" w14:textId="381DD542" w:rsidR="00597662" w:rsidRDefault="000F7935" w:rsidP="003B79E3">
      <w:pPr>
        <w:jc w:val="both"/>
        <w:rPr>
          <w:sz w:val="24"/>
          <w:szCs w:val="24"/>
        </w:rPr>
      </w:pPr>
      <w:r w:rsidRPr="00597662">
        <w:rPr>
          <w:sz w:val="24"/>
          <w:szCs w:val="24"/>
        </w:rPr>
        <w:t xml:space="preserve">El estudio se llevó a cabo en los centros hospitalarios Puerta del Mar, de Cádiz, </w:t>
      </w:r>
      <w:r w:rsidR="00597662">
        <w:rPr>
          <w:sz w:val="24"/>
          <w:szCs w:val="24"/>
        </w:rPr>
        <w:t xml:space="preserve">el </w:t>
      </w:r>
      <w:r w:rsidRPr="00597662">
        <w:rPr>
          <w:sz w:val="24"/>
          <w:szCs w:val="24"/>
        </w:rPr>
        <w:t xml:space="preserve">Hospital de Jerez </w:t>
      </w:r>
      <w:r w:rsidR="00597662">
        <w:rPr>
          <w:sz w:val="24"/>
          <w:szCs w:val="24"/>
        </w:rPr>
        <w:t xml:space="preserve">de la Frontera </w:t>
      </w:r>
      <w:r w:rsidRPr="00597662">
        <w:rPr>
          <w:sz w:val="24"/>
          <w:szCs w:val="24"/>
        </w:rPr>
        <w:t xml:space="preserve">y </w:t>
      </w:r>
      <w:r w:rsidR="00597662">
        <w:rPr>
          <w:sz w:val="24"/>
          <w:szCs w:val="24"/>
        </w:rPr>
        <w:t xml:space="preserve">el </w:t>
      </w:r>
      <w:r w:rsidRPr="00597662">
        <w:rPr>
          <w:sz w:val="24"/>
          <w:szCs w:val="24"/>
        </w:rPr>
        <w:t>Hospital de Puerto Real, entre febrero de 2016 y julio de 2022. En este periodo 96</w:t>
      </w:r>
      <w:r w:rsidR="00BE73D0" w:rsidRPr="00597662">
        <w:rPr>
          <w:sz w:val="24"/>
          <w:szCs w:val="24"/>
        </w:rPr>
        <w:t xml:space="preserve"> pacientes</w:t>
      </w:r>
      <w:r w:rsidRPr="00597662">
        <w:rPr>
          <w:sz w:val="24"/>
          <w:szCs w:val="24"/>
        </w:rPr>
        <w:t xml:space="preserve"> trasplantados con diabetes tipo 2 iniciaron tratamiento con arGLP-1, de los cuales 84 pacientes cumplieron el seguimiento mínimo de 6 meses y 64 pacientes de 1 año. Cuarenta y dos (43.7%) pacientes habían desarrollado la diabetes </w:t>
      </w:r>
      <w:proofErr w:type="spellStart"/>
      <w:r w:rsidRPr="00597662">
        <w:rPr>
          <w:sz w:val="24"/>
          <w:szCs w:val="24"/>
        </w:rPr>
        <w:t>pos-trasplante</w:t>
      </w:r>
      <w:proofErr w:type="spellEnd"/>
      <w:r w:rsidRPr="00597662">
        <w:rPr>
          <w:sz w:val="24"/>
          <w:szCs w:val="24"/>
        </w:rPr>
        <w:t xml:space="preserve">. </w:t>
      </w:r>
    </w:p>
    <w:p w14:paraId="5322E245" w14:textId="77777777" w:rsidR="00597662" w:rsidRDefault="00597662" w:rsidP="003B79E3">
      <w:pPr>
        <w:jc w:val="both"/>
        <w:rPr>
          <w:sz w:val="24"/>
          <w:szCs w:val="24"/>
        </w:rPr>
      </w:pPr>
    </w:p>
    <w:p w14:paraId="2C57BE91" w14:textId="6B8B13E0" w:rsidR="000F7935" w:rsidRPr="00597662" w:rsidRDefault="000F7935" w:rsidP="003B79E3">
      <w:pPr>
        <w:jc w:val="both"/>
        <w:rPr>
          <w:sz w:val="24"/>
          <w:szCs w:val="24"/>
        </w:rPr>
      </w:pPr>
      <w:r w:rsidRPr="00597662">
        <w:rPr>
          <w:sz w:val="24"/>
          <w:szCs w:val="24"/>
        </w:rPr>
        <w:t xml:space="preserve">El seguimiento de </w:t>
      </w:r>
      <w:r w:rsidR="002A18A4" w:rsidRPr="00597662">
        <w:rPr>
          <w:sz w:val="24"/>
          <w:szCs w:val="24"/>
        </w:rPr>
        <w:t>l</w:t>
      </w:r>
      <w:r w:rsidRPr="00597662">
        <w:rPr>
          <w:sz w:val="24"/>
          <w:szCs w:val="24"/>
        </w:rPr>
        <w:t xml:space="preserve">os pacientes no documentó episodios de </w:t>
      </w:r>
      <w:r w:rsidR="002A18A4" w:rsidRPr="00597662">
        <w:rPr>
          <w:sz w:val="24"/>
          <w:szCs w:val="24"/>
        </w:rPr>
        <w:t>r</w:t>
      </w:r>
      <w:r w:rsidRPr="00597662">
        <w:rPr>
          <w:sz w:val="24"/>
          <w:szCs w:val="24"/>
        </w:rPr>
        <w:t xml:space="preserve">echazo agudo ni desarrollo de anticuerpos donantes específicos (DSA) </w:t>
      </w:r>
      <w:r w:rsidRPr="00597662">
        <w:rPr>
          <w:i/>
          <w:sz w:val="24"/>
          <w:szCs w:val="24"/>
        </w:rPr>
        <w:t xml:space="preserve">de </w:t>
      </w:r>
      <w:proofErr w:type="spellStart"/>
      <w:r w:rsidRPr="00597662">
        <w:rPr>
          <w:i/>
          <w:sz w:val="24"/>
          <w:szCs w:val="24"/>
        </w:rPr>
        <w:t>novo</w:t>
      </w:r>
      <w:proofErr w:type="spellEnd"/>
      <w:r w:rsidRPr="00597662">
        <w:rPr>
          <w:sz w:val="24"/>
          <w:szCs w:val="24"/>
        </w:rPr>
        <w:t>.</w:t>
      </w:r>
      <w:r w:rsidR="007A04A7" w:rsidRPr="00597662">
        <w:rPr>
          <w:sz w:val="24"/>
          <w:szCs w:val="24"/>
        </w:rPr>
        <w:t xml:space="preserve"> Los principales efectos adversos (en 16 pacientes) fueron gastrointestinales, no realizándose cambios en el tratamiento por este motivo. Los autores concluyen que los</w:t>
      </w:r>
      <w:r w:rsidR="007A04A7" w:rsidRPr="00597662">
        <w:rPr>
          <w:rFonts w:asciiTheme="minorHAnsi" w:eastAsia="Times New Roman" w:hAnsiTheme="minorHAnsi" w:cstheme="minorHAnsi"/>
          <w:color w:val="191919"/>
          <w:sz w:val="24"/>
          <w:szCs w:val="24"/>
        </w:rPr>
        <w:t xml:space="preserve"> agonistas del GLP1 “pueden ser</w:t>
      </w:r>
      <w:r w:rsidR="007A04A7" w:rsidRPr="00597662">
        <w:rPr>
          <w:rFonts w:asciiTheme="minorHAnsi" w:hAnsiTheme="minorHAnsi" w:cstheme="minorHAnsi"/>
          <w:sz w:val="24"/>
          <w:szCs w:val="24"/>
        </w:rPr>
        <w:t xml:space="preserve"> una opción para el manejo de la diabetes tipo 2 en estos pacientes</w:t>
      </w:r>
      <w:r w:rsidR="002A18A4" w:rsidRPr="00597662">
        <w:rPr>
          <w:rFonts w:asciiTheme="minorHAnsi" w:hAnsiTheme="minorHAnsi" w:cstheme="minorHAnsi"/>
          <w:sz w:val="24"/>
          <w:szCs w:val="24"/>
        </w:rPr>
        <w:t>”.</w:t>
      </w:r>
    </w:p>
    <w:p w14:paraId="3D368828" w14:textId="77777777" w:rsidR="000F7935" w:rsidRPr="00597662" w:rsidRDefault="000F7935" w:rsidP="003B79E3">
      <w:pPr>
        <w:jc w:val="both"/>
        <w:rPr>
          <w:rFonts w:ascii="Times New Roman" w:eastAsia="Times New Roman" w:hAnsi="Times New Roman" w:cs="Times New Roman"/>
          <w:color w:val="191919"/>
          <w:sz w:val="24"/>
          <w:szCs w:val="24"/>
        </w:rPr>
      </w:pPr>
    </w:p>
    <w:p w14:paraId="70124B4F" w14:textId="77777777" w:rsidR="00511ED3" w:rsidRPr="00597662" w:rsidRDefault="00511ED3" w:rsidP="003B79E3">
      <w:pPr>
        <w:jc w:val="both"/>
        <w:rPr>
          <w:rFonts w:asciiTheme="minorHAnsi" w:hAnsiTheme="minorHAnsi" w:cstheme="minorHAnsi"/>
          <w:sz w:val="24"/>
          <w:szCs w:val="24"/>
        </w:rPr>
      </w:pPr>
      <w:r w:rsidRPr="00597662">
        <w:rPr>
          <w:rFonts w:asciiTheme="minorHAnsi" w:hAnsiTheme="minorHAnsi" w:cstheme="minorHAnsi"/>
          <w:sz w:val="24"/>
          <w:szCs w:val="24"/>
        </w:rPr>
        <w:t>Los resultados de est</w:t>
      </w:r>
      <w:r w:rsidR="000F7935" w:rsidRPr="00597662">
        <w:rPr>
          <w:rFonts w:asciiTheme="minorHAnsi" w:hAnsiTheme="minorHAnsi" w:cstheme="minorHAnsi"/>
          <w:sz w:val="24"/>
          <w:szCs w:val="24"/>
        </w:rPr>
        <w:t>e estudio</w:t>
      </w:r>
      <w:r w:rsidRPr="00597662">
        <w:rPr>
          <w:rFonts w:asciiTheme="minorHAnsi" w:hAnsiTheme="minorHAnsi" w:cstheme="minorHAnsi"/>
          <w:sz w:val="24"/>
          <w:szCs w:val="24"/>
        </w:rPr>
        <w:t xml:space="preserve"> se han presentado en el 53 Congreso Nacional de la Sociedad Española de Nefrología, que ha reunido a más de 1.200 especialistas en Palma de Mallorca</w:t>
      </w:r>
      <w:r w:rsidR="000F7935" w:rsidRPr="00597662">
        <w:rPr>
          <w:rFonts w:asciiTheme="minorHAnsi" w:hAnsiTheme="minorHAnsi" w:cstheme="minorHAnsi"/>
          <w:sz w:val="24"/>
          <w:szCs w:val="24"/>
        </w:rPr>
        <w:t>.</w:t>
      </w:r>
    </w:p>
    <w:p w14:paraId="08DFFB4E" w14:textId="77777777" w:rsidR="003B79E3" w:rsidRPr="00597662" w:rsidRDefault="003B79E3" w:rsidP="003B79E3">
      <w:pPr>
        <w:jc w:val="both"/>
        <w:rPr>
          <w:sz w:val="24"/>
          <w:szCs w:val="24"/>
        </w:rPr>
      </w:pPr>
    </w:p>
    <w:p w14:paraId="330D2BF6" w14:textId="77777777" w:rsidR="00597662" w:rsidRDefault="00597662" w:rsidP="008814AF">
      <w:pPr>
        <w:rPr>
          <w:b/>
          <w:bCs/>
        </w:rPr>
      </w:pPr>
    </w:p>
    <w:p w14:paraId="68C23082" w14:textId="5BB4682B" w:rsidR="008814AF" w:rsidRDefault="008814AF" w:rsidP="008814AF">
      <w:pPr>
        <w:rPr>
          <w:b/>
          <w:bCs/>
        </w:rPr>
      </w:pPr>
      <w:r>
        <w:rPr>
          <w:b/>
          <w:bCs/>
        </w:rPr>
        <w:t>Para más información, contactar Gabinete de Prensa de la S.E.N.</w:t>
      </w:r>
    </w:p>
    <w:p w14:paraId="7CCBDB8A" w14:textId="60B0B1C9" w:rsidR="008814AF" w:rsidRDefault="008814AF" w:rsidP="008814AF">
      <w:pPr>
        <w:rPr>
          <w:b/>
          <w:bCs/>
        </w:rPr>
      </w:pPr>
      <w:r>
        <w:rPr>
          <w:b/>
          <w:bCs/>
        </w:rPr>
        <w:t>Euromedia Comunicación. Manuela Hernández</w:t>
      </w:r>
      <w:r w:rsidR="00597662">
        <w:rPr>
          <w:b/>
          <w:bCs/>
        </w:rPr>
        <w:t xml:space="preserve"> Jesús Herrera</w:t>
      </w:r>
      <w:r>
        <w:rPr>
          <w:b/>
          <w:bCs/>
        </w:rPr>
        <w:t xml:space="preserve"> 954 62 27 27</w:t>
      </w:r>
      <w:r w:rsidR="00597662">
        <w:rPr>
          <w:b/>
          <w:bCs/>
        </w:rPr>
        <w:t xml:space="preserve"> </w:t>
      </w:r>
      <w:r>
        <w:rPr>
          <w:b/>
          <w:bCs/>
        </w:rPr>
        <w:t xml:space="preserve">/ </w:t>
      </w:r>
      <w:r w:rsidR="006D009A">
        <w:rPr>
          <w:b/>
          <w:bCs/>
        </w:rPr>
        <w:t xml:space="preserve">625 87 27 80 / </w:t>
      </w:r>
      <w:r>
        <w:rPr>
          <w:b/>
          <w:bCs/>
        </w:rPr>
        <w:t>651 86 72 78</w:t>
      </w:r>
    </w:p>
    <w:p w14:paraId="12C523DB" w14:textId="77777777" w:rsidR="00597662" w:rsidRDefault="00597662" w:rsidP="008814AF">
      <w:pPr>
        <w:rPr>
          <w:b/>
          <w:bCs/>
        </w:rPr>
      </w:pPr>
    </w:p>
    <w:p w14:paraId="6F569C97" w14:textId="77777777" w:rsidR="008814AF" w:rsidRDefault="008814AF" w:rsidP="00511ED3">
      <w:pPr>
        <w:rPr>
          <w:b/>
          <w:sz w:val="24"/>
          <w:szCs w:val="24"/>
        </w:rPr>
      </w:pPr>
    </w:p>
    <w:p w14:paraId="72BD1AAA" w14:textId="77777777" w:rsidR="00597662" w:rsidRPr="008E36F9" w:rsidRDefault="00597662" w:rsidP="00511ED3">
      <w:pPr>
        <w:rPr>
          <w:b/>
          <w:sz w:val="24"/>
          <w:szCs w:val="24"/>
        </w:rPr>
      </w:pPr>
    </w:p>
    <w:p w14:paraId="2CA57310" w14:textId="50AD93C6" w:rsidR="00511ED3" w:rsidRPr="00597662" w:rsidRDefault="00597662" w:rsidP="00511ED3">
      <w:pPr>
        <w:rPr>
          <w:b/>
          <w:bCs/>
          <w:u w:val="single"/>
        </w:rPr>
      </w:pPr>
      <w:r w:rsidRPr="00597662">
        <w:rPr>
          <w:b/>
          <w:bCs/>
          <w:u w:val="single"/>
        </w:rPr>
        <w:t>RESUMEN DEL ESTUDIO</w:t>
      </w:r>
    </w:p>
    <w:p w14:paraId="4351F635" w14:textId="77777777" w:rsidR="00597662" w:rsidRDefault="00597662" w:rsidP="00597662">
      <w:pPr>
        <w:rPr>
          <w:bCs/>
          <w:sz w:val="24"/>
          <w:szCs w:val="24"/>
        </w:rPr>
      </w:pPr>
    </w:p>
    <w:p w14:paraId="3D7C1167" w14:textId="5BB4D4BB" w:rsidR="00597662" w:rsidRPr="00597662" w:rsidRDefault="00597662" w:rsidP="00597662">
      <w:pPr>
        <w:rPr>
          <w:b/>
          <w:sz w:val="24"/>
          <w:szCs w:val="24"/>
        </w:rPr>
      </w:pPr>
      <w:r w:rsidRPr="00597662">
        <w:rPr>
          <w:bCs/>
          <w:sz w:val="24"/>
          <w:szCs w:val="24"/>
        </w:rPr>
        <w:t>Uso de los agonistas del receptor del péptido similar al glucagón tipo 1 en pacientes diabéticos trasplantados</w:t>
      </w:r>
      <w:r w:rsidRPr="00597662">
        <w:rPr>
          <w:b/>
          <w:sz w:val="24"/>
          <w:szCs w:val="24"/>
        </w:rPr>
        <w:t xml:space="preserve"> </w:t>
      </w:r>
      <w:r w:rsidRPr="00597662">
        <w:rPr>
          <w:bCs/>
          <w:sz w:val="24"/>
          <w:szCs w:val="24"/>
        </w:rPr>
        <w:t>renales.</w:t>
      </w:r>
      <w:r w:rsidRPr="00597662">
        <w:rPr>
          <w:b/>
          <w:sz w:val="24"/>
          <w:szCs w:val="24"/>
        </w:rPr>
        <w:t xml:space="preserve"> </w:t>
      </w:r>
    </w:p>
    <w:p w14:paraId="7FDC3221" w14:textId="77777777" w:rsidR="00597662" w:rsidRDefault="00597662" w:rsidP="00511ED3"/>
    <w:p w14:paraId="623BE921" w14:textId="77777777" w:rsidR="00511ED3" w:rsidRPr="00511ED3" w:rsidRDefault="00511ED3" w:rsidP="00511ED3">
      <w:pPr>
        <w:rPr>
          <w:b/>
          <w:sz w:val="24"/>
          <w:szCs w:val="24"/>
        </w:rPr>
      </w:pPr>
      <w:r w:rsidRPr="00511ED3">
        <w:rPr>
          <w:b/>
          <w:sz w:val="24"/>
          <w:szCs w:val="24"/>
        </w:rPr>
        <w:t>Autores</w:t>
      </w:r>
    </w:p>
    <w:p w14:paraId="2F6B794C" w14:textId="77777777" w:rsidR="00511ED3" w:rsidRDefault="00511ED3" w:rsidP="00511ED3">
      <w:r>
        <w:t xml:space="preserve">LA. VIGARA SÁNCHEZ 1, F. VILLANEGO FERNÁNDEZ 1, C. ORELLANA CHÁVEZ 1, M. EADY ALONSO2, MG. SÁNCHEZ MÁRQUEZ 3, MB. GARCÍA JIMÉNEZ 2, M. ALONSO MOZO1, JM. AMARO MARTÍN1, T. GARCÍA ÁLVAREZ 1, A. MAZUECOS BLANCA 1 </w:t>
      </w:r>
    </w:p>
    <w:p w14:paraId="49191813" w14:textId="77777777" w:rsidR="00511ED3" w:rsidRDefault="00511ED3" w:rsidP="00511ED3">
      <w:r w:rsidRPr="00511ED3">
        <w:rPr>
          <w:sz w:val="20"/>
          <w:szCs w:val="20"/>
        </w:rPr>
        <w:t>1Servicio de Nefrología. Hospital Universitario Puerta del Mar (Cádiz),2Servicio de Nefrología. Hospital Universitario de Jerez (Jerez de la Frontera),3Servicio de Nefrología. Hospital Universitario de Puerto Real (Puerto Real)</w:t>
      </w:r>
      <w:r>
        <w:t xml:space="preserve"> </w:t>
      </w:r>
    </w:p>
    <w:p w14:paraId="62BD64F8" w14:textId="77777777" w:rsidR="00511ED3" w:rsidRPr="00511ED3" w:rsidRDefault="00511ED3" w:rsidP="00511ED3">
      <w:pPr>
        <w:rPr>
          <w:i/>
        </w:rPr>
      </w:pPr>
      <w:r w:rsidRPr="00511ED3">
        <w:rPr>
          <w:i/>
        </w:rPr>
        <w:t xml:space="preserve">La comunicación corresponde a un grupo de trabajo o un estudio </w:t>
      </w:r>
      <w:proofErr w:type="spellStart"/>
      <w:r w:rsidRPr="00511ED3">
        <w:rPr>
          <w:i/>
        </w:rPr>
        <w:t>multicentrico</w:t>
      </w:r>
      <w:proofErr w:type="spellEnd"/>
      <w:r w:rsidRPr="00511ED3">
        <w:rPr>
          <w:i/>
        </w:rPr>
        <w:t xml:space="preserve">: Estudio multicéntrico de 3 centros que siguen pacientes trasplantados en la provincia de Cádiz </w:t>
      </w:r>
      <w:r>
        <w:rPr>
          <w:i/>
        </w:rPr>
        <w:t>(</w:t>
      </w:r>
      <w:r w:rsidRPr="00511ED3">
        <w:rPr>
          <w:i/>
        </w:rPr>
        <w:t>Hospital Puerta del Mar, Hospital de Jerez de la Fro</w:t>
      </w:r>
      <w:r>
        <w:rPr>
          <w:i/>
        </w:rPr>
        <w:t>ntera y Hospital de Puerto Real</w:t>
      </w:r>
      <w:r w:rsidRPr="00511ED3">
        <w:rPr>
          <w:i/>
        </w:rPr>
        <w:t xml:space="preserve">) </w:t>
      </w:r>
    </w:p>
    <w:p w14:paraId="27BEF474" w14:textId="77777777" w:rsidR="00E420F5" w:rsidRDefault="00E420F5" w:rsidP="00511ED3">
      <w:pPr>
        <w:rPr>
          <w:b/>
          <w:sz w:val="24"/>
          <w:szCs w:val="24"/>
        </w:rPr>
      </w:pPr>
    </w:p>
    <w:p w14:paraId="16D776A8" w14:textId="2CCF4CB8" w:rsidR="00511ED3" w:rsidRPr="008E36F9" w:rsidRDefault="00511ED3" w:rsidP="00511ED3">
      <w:pPr>
        <w:rPr>
          <w:sz w:val="24"/>
          <w:szCs w:val="24"/>
        </w:rPr>
      </w:pPr>
      <w:r w:rsidRPr="008E36F9">
        <w:rPr>
          <w:b/>
          <w:sz w:val="24"/>
          <w:szCs w:val="24"/>
        </w:rPr>
        <w:t>Contenido</w:t>
      </w:r>
      <w:r w:rsidR="008E36F9" w:rsidRPr="008E36F9">
        <w:rPr>
          <w:b/>
          <w:sz w:val="24"/>
          <w:szCs w:val="24"/>
        </w:rPr>
        <w:t>s</w:t>
      </w:r>
    </w:p>
    <w:p w14:paraId="62EFC878" w14:textId="77777777" w:rsidR="00511ED3" w:rsidRPr="00511ED3" w:rsidRDefault="00511ED3" w:rsidP="00511ED3">
      <w:pPr>
        <w:rPr>
          <w:u w:val="single"/>
        </w:rPr>
      </w:pPr>
      <w:r w:rsidRPr="00511ED3">
        <w:rPr>
          <w:u w:val="single"/>
        </w:rPr>
        <w:t>Introducción</w:t>
      </w:r>
    </w:p>
    <w:p w14:paraId="23EAA1B3" w14:textId="77777777" w:rsidR="00511ED3" w:rsidRDefault="00511ED3" w:rsidP="00511ED3">
      <w:r>
        <w:t xml:space="preserve">Los agonistas del receptor del péptido similar al glucagón tipo 1 (arGLP-1) podrían tener beneficios en el trasplante renal (TR).El objetivo de nuestro estudio es describir la efectividad y seguridad de los aGLP-1 en TR. </w:t>
      </w:r>
    </w:p>
    <w:p w14:paraId="2B88E2CC" w14:textId="77777777" w:rsidR="00E420F5" w:rsidRDefault="00E420F5" w:rsidP="00511ED3">
      <w:pPr>
        <w:rPr>
          <w:u w:val="single"/>
        </w:rPr>
      </w:pPr>
    </w:p>
    <w:p w14:paraId="7B4A1E66" w14:textId="63B4D62A" w:rsidR="00511ED3" w:rsidRPr="00511ED3" w:rsidRDefault="00511ED3" w:rsidP="00511ED3">
      <w:pPr>
        <w:rPr>
          <w:u w:val="single"/>
        </w:rPr>
      </w:pPr>
      <w:r w:rsidRPr="00511ED3">
        <w:rPr>
          <w:u w:val="single"/>
        </w:rPr>
        <w:lastRenderedPageBreak/>
        <w:t>Material y métodos</w:t>
      </w:r>
    </w:p>
    <w:p w14:paraId="657D2F1B" w14:textId="77777777" w:rsidR="008E36F9" w:rsidRDefault="00511ED3" w:rsidP="00511ED3">
      <w:r>
        <w:t xml:space="preserve"> Estudio de cohortes retrospectivo de los pacientes TR con DM que iniciaron arGLP-1 en 3 centros hospitalarios de la provincia de Cádiz (Hospital Puerta del Mar, Hospital de Jerez y Hospital de Puerto Real) entre febrero de 2016 y julio de 2022.Se recogió filtrado glomerular estimado (</w:t>
      </w:r>
      <w:proofErr w:type="spellStart"/>
      <w:r>
        <w:t>FGe</w:t>
      </w:r>
      <w:proofErr w:type="spellEnd"/>
      <w:r>
        <w:t xml:space="preserve">), proteinuria y peso al inicio del tratamiento y tras 6 y 12 meses. Analizamos control glucémico, tensión arterial, perfil lipídico y niveles y dosis de </w:t>
      </w:r>
      <w:proofErr w:type="spellStart"/>
      <w:r>
        <w:t>tacrolimus</w:t>
      </w:r>
      <w:proofErr w:type="spellEnd"/>
      <w:r>
        <w:t xml:space="preserve">. Documentamos episodios de rechazo agudo (RA), anticuerpos donantes específicos (DSA) de </w:t>
      </w:r>
      <w:proofErr w:type="spellStart"/>
      <w:r>
        <w:t>novo</w:t>
      </w:r>
      <w:proofErr w:type="spellEnd"/>
      <w:r>
        <w:t xml:space="preserve"> y efectos adversos. Se realizaron pruebas paramétricas y no paramétricas según la normalidad de la muestra. </w:t>
      </w:r>
    </w:p>
    <w:p w14:paraId="4785A8F1" w14:textId="77777777" w:rsidR="00E420F5" w:rsidRDefault="00E420F5" w:rsidP="00511ED3">
      <w:pPr>
        <w:rPr>
          <w:u w:val="single"/>
        </w:rPr>
      </w:pPr>
    </w:p>
    <w:p w14:paraId="0E8508FC" w14:textId="3D718846" w:rsidR="008E36F9" w:rsidRPr="008E36F9" w:rsidRDefault="008E36F9" w:rsidP="00511ED3">
      <w:pPr>
        <w:rPr>
          <w:u w:val="single"/>
        </w:rPr>
      </w:pPr>
      <w:r w:rsidRPr="008E36F9">
        <w:rPr>
          <w:u w:val="single"/>
        </w:rPr>
        <w:t>Resultados</w:t>
      </w:r>
    </w:p>
    <w:p w14:paraId="6B9167A1" w14:textId="77777777" w:rsidR="00E420F5" w:rsidRDefault="00511ED3" w:rsidP="00511ED3">
      <w:r>
        <w:t xml:space="preserve">En este periodo 96 TR con DM iniciaron tratamiento con arGLP-1 de los cuales 84 pacientes cumplieron el seguimiento mínimo de 6 meses y 64 pacientes de 1 año. Cuarenta y dos (43.7%) pacientes habían desarrollado DM post- TR. La edad media fue de 62 años y el 56% eran hombres. El </w:t>
      </w:r>
      <w:proofErr w:type="spellStart"/>
      <w:r>
        <w:t>FGe</w:t>
      </w:r>
      <w:proofErr w:type="spellEnd"/>
      <w:r>
        <w:t xml:space="preserve"> medio fue de 47.3 ml/min/1,73 m2, el IMC medio al inicio del tratamiento fue de 35.8 kg/m2 y la mediana de tiempo post-TR fue de 47 meses. El arGLP-1 más prescrito fue </w:t>
      </w:r>
      <w:proofErr w:type="spellStart"/>
      <w:r>
        <w:t>semaglutide</w:t>
      </w:r>
      <w:proofErr w:type="spellEnd"/>
      <w:r>
        <w:t xml:space="preserve"> (66.7%).La terapia inmunosupresora de mantenimiento utilizada fue esteroides (93.8 %), </w:t>
      </w:r>
      <w:proofErr w:type="spellStart"/>
      <w:r>
        <w:t>tacrolimus</w:t>
      </w:r>
      <w:proofErr w:type="spellEnd"/>
      <w:r>
        <w:t xml:space="preserve"> (92.7%), micofenolato (89.6%) </w:t>
      </w:r>
      <w:proofErr w:type="spellStart"/>
      <w:r>
        <w:t>everolimus</w:t>
      </w:r>
      <w:proofErr w:type="spellEnd"/>
      <w:r>
        <w:t xml:space="preserve"> (4.2%) y ciclosporina (3.1%). Las variables comparadas durante el seguimiento se muestran en la tabla 1. En cuanto a los efectos adversos </w:t>
      </w:r>
      <w:proofErr w:type="spellStart"/>
      <w:r>
        <w:t>dieciseis</w:t>
      </w:r>
      <w:proofErr w:type="spellEnd"/>
      <w:r>
        <w:t xml:space="preserve"> pacientes sufrieron efectos adversos gastrointestinales. No se realizaron cambios en la formulación de micofenolato ni en la dosis por este motivo. No se documentaron episodios de RA ni desarrollo de DSA de </w:t>
      </w:r>
      <w:proofErr w:type="spellStart"/>
      <w:r>
        <w:t>novo</w:t>
      </w:r>
      <w:proofErr w:type="spellEnd"/>
      <w:r>
        <w:t xml:space="preserve">. No encontramos diferencias en la dosis y el porcentaje de pacientes que toman estatinas durante el seguimiento. Hubo un mayor número de pacientes con iSGLT2 (p=0.031) y </w:t>
      </w:r>
      <w:proofErr w:type="spellStart"/>
      <w:r>
        <w:t>calcioantagonistas</w:t>
      </w:r>
      <w:proofErr w:type="spellEnd"/>
      <w:r>
        <w:t xml:space="preserve"> al año (p=0.031). </w:t>
      </w:r>
    </w:p>
    <w:p w14:paraId="20626504" w14:textId="77777777" w:rsidR="00E420F5" w:rsidRDefault="00E420F5" w:rsidP="00511ED3"/>
    <w:p w14:paraId="20B66DC9" w14:textId="44418399" w:rsidR="008E36F9" w:rsidRPr="008E36F9" w:rsidRDefault="008E36F9" w:rsidP="00511ED3">
      <w:pPr>
        <w:rPr>
          <w:u w:val="single"/>
        </w:rPr>
      </w:pPr>
      <w:r w:rsidRPr="008E36F9">
        <w:rPr>
          <w:u w:val="single"/>
        </w:rPr>
        <w:t>Conclusiones</w:t>
      </w:r>
    </w:p>
    <w:p w14:paraId="119E8161" w14:textId="79CA1B86" w:rsidR="00834BA2" w:rsidRDefault="00511ED3" w:rsidP="00511ED3">
      <w:r>
        <w:t>Mostramos el primer estudio multicéntrico que reporta la eficacia y seguridad de los arGLP-1 en pacientes TR. Nuestros resultados demuestran que puede ser una opción para el manejo de la DM en TR</w:t>
      </w:r>
    </w:p>
    <w:sectPr w:rsidR="00834BA2" w:rsidSect="00834B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4271" w14:textId="77777777" w:rsidR="00597662" w:rsidRDefault="00597662" w:rsidP="00597662">
      <w:r>
        <w:separator/>
      </w:r>
    </w:p>
  </w:endnote>
  <w:endnote w:type="continuationSeparator" w:id="0">
    <w:p w14:paraId="7877140B" w14:textId="77777777" w:rsidR="00597662" w:rsidRDefault="00597662" w:rsidP="0059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DE8B" w14:textId="77777777" w:rsidR="00597662" w:rsidRDefault="00597662" w:rsidP="00597662">
      <w:r>
        <w:separator/>
      </w:r>
    </w:p>
  </w:footnote>
  <w:footnote w:type="continuationSeparator" w:id="0">
    <w:p w14:paraId="2C62DD4D" w14:textId="77777777" w:rsidR="00597662" w:rsidRDefault="00597662" w:rsidP="00597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34A53"/>
    <w:rsid w:val="000B5AC8"/>
    <w:rsid w:val="000B65DF"/>
    <w:rsid w:val="000E44BF"/>
    <w:rsid w:val="000F7935"/>
    <w:rsid w:val="00114F0C"/>
    <w:rsid w:val="002172D9"/>
    <w:rsid w:val="00221DBC"/>
    <w:rsid w:val="00241E73"/>
    <w:rsid w:val="00293C2D"/>
    <w:rsid w:val="002A18A4"/>
    <w:rsid w:val="003B79E3"/>
    <w:rsid w:val="003E3F99"/>
    <w:rsid w:val="00400DCA"/>
    <w:rsid w:val="00440097"/>
    <w:rsid w:val="004865AA"/>
    <w:rsid w:val="00511ED3"/>
    <w:rsid w:val="00531C48"/>
    <w:rsid w:val="00597662"/>
    <w:rsid w:val="00597D50"/>
    <w:rsid w:val="005F3681"/>
    <w:rsid w:val="006135B5"/>
    <w:rsid w:val="00620F4E"/>
    <w:rsid w:val="006D009A"/>
    <w:rsid w:val="007271DB"/>
    <w:rsid w:val="00735194"/>
    <w:rsid w:val="00743864"/>
    <w:rsid w:val="00774CE9"/>
    <w:rsid w:val="00782879"/>
    <w:rsid w:val="007A04A7"/>
    <w:rsid w:val="007E1EC7"/>
    <w:rsid w:val="0083399E"/>
    <w:rsid w:val="00834BA2"/>
    <w:rsid w:val="00876249"/>
    <w:rsid w:val="008814AF"/>
    <w:rsid w:val="00883F43"/>
    <w:rsid w:val="00892AF6"/>
    <w:rsid w:val="008E19FB"/>
    <w:rsid w:val="008E36F9"/>
    <w:rsid w:val="00921F2E"/>
    <w:rsid w:val="009355ED"/>
    <w:rsid w:val="009A087F"/>
    <w:rsid w:val="009A61F6"/>
    <w:rsid w:val="009E4BAE"/>
    <w:rsid w:val="009F57A2"/>
    <w:rsid w:val="00A1616F"/>
    <w:rsid w:val="00B649B1"/>
    <w:rsid w:val="00B67D46"/>
    <w:rsid w:val="00BB4356"/>
    <w:rsid w:val="00BE73D0"/>
    <w:rsid w:val="00C5634C"/>
    <w:rsid w:val="00CC00B8"/>
    <w:rsid w:val="00D06752"/>
    <w:rsid w:val="00D14D30"/>
    <w:rsid w:val="00DF0DD4"/>
    <w:rsid w:val="00E420F5"/>
    <w:rsid w:val="00F90060"/>
    <w:rsid w:val="00FE66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7EAA"/>
  <w15:docId w15:val="{E0047030-4201-4E22-94C2-39706B3A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character" w:styleId="Textoennegrita">
    <w:name w:val="Strong"/>
    <w:basedOn w:val="Fuentedeprrafopredeter"/>
    <w:uiPriority w:val="22"/>
    <w:qFormat/>
    <w:rsid w:val="0083399E"/>
    <w:rPr>
      <w:b/>
      <w:bCs/>
    </w:rPr>
  </w:style>
  <w:style w:type="character" w:styleId="Hipervnculo">
    <w:name w:val="Hyperlink"/>
    <w:basedOn w:val="Fuentedeprrafopredeter"/>
    <w:uiPriority w:val="99"/>
    <w:semiHidden/>
    <w:unhideWhenUsed/>
    <w:rsid w:val="0083399E"/>
    <w:rPr>
      <w:color w:val="0000FF"/>
      <w:u w:val="single"/>
    </w:rPr>
  </w:style>
  <w:style w:type="paragraph" w:styleId="Revisin">
    <w:name w:val="Revision"/>
    <w:hidden/>
    <w:uiPriority w:val="99"/>
    <w:semiHidden/>
    <w:rsid w:val="00774CE9"/>
    <w:pPr>
      <w:spacing w:after="0" w:line="240" w:lineRule="auto"/>
    </w:pPr>
    <w:rPr>
      <w:rFonts w:ascii="Calibri" w:hAnsi="Calibri" w:cs="Calibri"/>
      <w:lang w:eastAsia="es-ES"/>
    </w:rPr>
  </w:style>
  <w:style w:type="paragraph" w:styleId="Encabezado">
    <w:name w:val="header"/>
    <w:basedOn w:val="Normal"/>
    <w:link w:val="EncabezadoCar"/>
    <w:uiPriority w:val="99"/>
    <w:unhideWhenUsed/>
    <w:rsid w:val="00597662"/>
    <w:pPr>
      <w:tabs>
        <w:tab w:val="center" w:pos="4252"/>
        <w:tab w:val="right" w:pos="8504"/>
      </w:tabs>
    </w:pPr>
  </w:style>
  <w:style w:type="character" w:customStyle="1" w:styleId="EncabezadoCar">
    <w:name w:val="Encabezado Car"/>
    <w:basedOn w:val="Fuentedeprrafopredeter"/>
    <w:link w:val="Encabezado"/>
    <w:uiPriority w:val="99"/>
    <w:rsid w:val="00597662"/>
    <w:rPr>
      <w:rFonts w:ascii="Calibri" w:hAnsi="Calibri" w:cs="Calibri"/>
      <w:lang w:eastAsia="es-ES"/>
    </w:rPr>
  </w:style>
  <w:style w:type="paragraph" w:styleId="Piedepgina">
    <w:name w:val="footer"/>
    <w:basedOn w:val="Normal"/>
    <w:link w:val="PiedepginaCar"/>
    <w:uiPriority w:val="99"/>
    <w:unhideWhenUsed/>
    <w:rsid w:val="00597662"/>
    <w:pPr>
      <w:tabs>
        <w:tab w:val="center" w:pos="4252"/>
        <w:tab w:val="right" w:pos="8504"/>
      </w:tabs>
    </w:pPr>
  </w:style>
  <w:style w:type="character" w:customStyle="1" w:styleId="PiedepginaCar">
    <w:name w:val="Pie de página Car"/>
    <w:basedOn w:val="Fuentedeprrafopredeter"/>
    <w:link w:val="Piedepgina"/>
    <w:uiPriority w:val="99"/>
    <w:rsid w:val="00597662"/>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225700">
      <w:bodyDiv w:val="1"/>
      <w:marLeft w:val="0"/>
      <w:marRight w:val="0"/>
      <w:marTop w:val="0"/>
      <w:marBottom w:val="0"/>
      <w:divBdr>
        <w:top w:val="none" w:sz="0" w:space="0" w:color="auto"/>
        <w:left w:val="none" w:sz="0" w:space="0" w:color="auto"/>
        <w:bottom w:val="none" w:sz="0" w:space="0" w:color="auto"/>
        <w:right w:val="none" w:sz="0" w:space="0" w:color="auto"/>
      </w:divBdr>
    </w:div>
    <w:div w:id="1667977814">
      <w:bodyDiv w:val="1"/>
      <w:marLeft w:val="0"/>
      <w:marRight w:val="0"/>
      <w:marTop w:val="0"/>
      <w:marBottom w:val="0"/>
      <w:divBdr>
        <w:top w:val="none" w:sz="0" w:space="0" w:color="auto"/>
        <w:left w:val="none" w:sz="0" w:space="0" w:color="auto"/>
        <w:bottom w:val="none" w:sz="0" w:space="0" w:color="auto"/>
        <w:right w:val="none" w:sz="0" w:space="0" w:color="auto"/>
      </w:divBdr>
    </w:div>
    <w:div w:id="17629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epe.es/es/sanidad/20230329/actividad-trasplantes-crecimiento-espana-2023-85330927"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F3BC5F6E5A94AA623F50CDB41F19D" ma:contentTypeVersion="3" ma:contentTypeDescription="Create a new document." ma:contentTypeScope="" ma:versionID="56e5048b56196e0baa0571a04bbf6c63">
  <xsd:schema xmlns:xsd="http://www.w3.org/2001/XMLSchema" xmlns:xs="http://www.w3.org/2001/XMLSchema" xmlns:p="http://schemas.microsoft.com/office/2006/metadata/properties" xmlns:ns3="684c88f0-0706-4a69-8115-2b8b103538ce" targetNamespace="http://schemas.microsoft.com/office/2006/metadata/properties" ma:root="true" ma:fieldsID="67ad77012ca58695fda5134c5c500f06" ns3:_="">
    <xsd:import namespace="684c88f0-0706-4a69-8115-2b8b103538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88f0-0706-4a69-8115-2b8b10353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3C797-CD48-4AF6-A1AF-DF7CEAAF0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FBA39C-CFBB-43BD-BE89-4C23A5461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88f0-0706-4a69-8115-2b8b10353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A79F3-BBA7-4917-9DD4-5C70BD908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997</Words>
  <Characters>5486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8</cp:revision>
  <dcterms:created xsi:type="dcterms:W3CDTF">2023-11-09T10:49:00Z</dcterms:created>
  <dcterms:modified xsi:type="dcterms:W3CDTF">2023-11-14T12:09:00Z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0x010100A98F3BC5F6E5A94AA623F50CDB41F19D</vt:lpwstr>
  </property>
</Properties>
</file>