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6537" w14:textId="77777777" w:rsidR="00AB5BB7" w:rsidRDefault="00AB5BB7">
      <w:pPr>
        <w:spacing w:after="0" w:line="100" w:lineRule="atLeast"/>
        <w:jc w:val="center"/>
        <w:rPr>
          <w:b/>
          <w:bCs/>
          <w:sz w:val="28"/>
          <w:szCs w:val="28"/>
          <w:u w:val="single"/>
        </w:rPr>
      </w:pPr>
      <w:r>
        <w:rPr>
          <w:b/>
          <w:bCs/>
          <w:sz w:val="28"/>
          <w:szCs w:val="28"/>
          <w:u w:val="single"/>
        </w:rPr>
        <w:t>NOTA DE PRENSA</w:t>
      </w:r>
    </w:p>
    <w:p w14:paraId="4BF2B7F6" w14:textId="77777777" w:rsidR="00AB5BB7" w:rsidRDefault="00AB5BB7">
      <w:pPr>
        <w:spacing w:after="0" w:line="100" w:lineRule="atLeast"/>
        <w:jc w:val="center"/>
        <w:rPr>
          <w:b/>
          <w:bCs/>
          <w:sz w:val="28"/>
          <w:szCs w:val="28"/>
          <w:u w:val="single"/>
        </w:rPr>
      </w:pPr>
    </w:p>
    <w:p w14:paraId="39882F0F" w14:textId="7188B81B" w:rsidR="00C94EC5" w:rsidRDefault="00180E36" w:rsidP="00C94EC5">
      <w:pPr>
        <w:spacing w:after="0" w:line="240" w:lineRule="auto"/>
        <w:jc w:val="both"/>
        <w:rPr>
          <w:b/>
          <w:sz w:val="24"/>
          <w:szCs w:val="24"/>
          <w:u w:val="single"/>
        </w:rPr>
      </w:pPr>
      <w:r>
        <w:rPr>
          <w:b/>
          <w:sz w:val="24"/>
          <w:szCs w:val="24"/>
          <w:u w:val="single"/>
        </w:rPr>
        <w:t>Último</w:t>
      </w:r>
      <w:r w:rsidR="00DE2185">
        <w:rPr>
          <w:b/>
          <w:sz w:val="24"/>
          <w:szCs w:val="24"/>
          <w:u w:val="single"/>
        </w:rPr>
        <w:t>s</w:t>
      </w:r>
      <w:r>
        <w:rPr>
          <w:b/>
          <w:sz w:val="24"/>
          <w:szCs w:val="24"/>
          <w:u w:val="single"/>
        </w:rPr>
        <w:t xml:space="preserve"> datos sobre </w:t>
      </w:r>
      <w:r w:rsidR="00DE2185">
        <w:rPr>
          <w:b/>
          <w:sz w:val="24"/>
          <w:szCs w:val="24"/>
          <w:u w:val="single"/>
        </w:rPr>
        <w:t xml:space="preserve">la </w:t>
      </w:r>
      <w:r>
        <w:rPr>
          <w:b/>
          <w:sz w:val="24"/>
          <w:szCs w:val="24"/>
          <w:u w:val="single"/>
        </w:rPr>
        <w:t>Enfermedad Renal Crónica en España</w:t>
      </w:r>
    </w:p>
    <w:p w14:paraId="3882325C" w14:textId="77777777" w:rsidR="00AB5BB7" w:rsidRDefault="00AB5BB7">
      <w:pPr>
        <w:spacing w:after="0" w:line="100" w:lineRule="atLeast"/>
        <w:jc w:val="both"/>
        <w:rPr>
          <w:b/>
        </w:rPr>
      </w:pPr>
    </w:p>
    <w:p w14:paraId="7ADBFED4" w14:textId="764F8F25" w:rsidR="00D40D79" w:rsidRPr="00E267CB" w:rsidRDefault="00D40D79" w:rsidP="00D40D79">
      <w:pPr>
        <w:spacing w:after="0" w:line="100" w:lineRule="atLeast"/>
        <w:jc w:val="both"/>
        <w:rPr>
          <w:b/>
          <w:sz w:val="28"/>
          <w:szCs w:val="28"/>
        </w:rPr>
      </w:pPr>
      <w:r w:rsidRPr="00E267CB">
        <w:rPr>
          <w:b/>
          <w:sz w:val="28"/>
          <w:szCs w:val="28"/>
        </w:rPr>
        <w:t xml:space="preserve">LOS NUEVOS CASOS DE ENFERMEDAD RENAL </w:t>
      </w:r>
      <w:r w:rsidR="007A5047">
        <w:rPr>
          <w:b/>
          <w:sz w:val="28"/>
          <w:szCs w:val="28"/>
        </w:rPr>
        <w:t xml:space="preserve">CRÓNICA </w:t>
      </w:r>
      <w:r w:rsidR="004174D0" w:rsidRPr="00E267CB">
        <w:rPr>
          <w:b/>
          <w:sz w:val="28"/>
          <w:szCs w:val="28"/>
        </w:rPr>
        <w:t xml:space="preserve">AUMENTARON </w:t>
      </w:r>
      <w:r w:rsidRPr="00E267CB">
        <w:rPr>
          <w:b/>
          <w:sz w:val="28"/>
          <w:szCs w:val="28"/>
        </w:rPr>
        <w:t xml:space="preserve">UN </w:t>
      </w:r>
      <w:r w:rsidR="00D01F71">
        <w:rPr>
          <w:b/>
          <w:sz w:val="28"/>
          <w:szCs w:val="28"/>
        </w:rPr>
        <w:t>11</w:t>
      </w:r>
      <w:r w:rsidRPr="00E267CB">
        <w:rPr>
          <w:b/>
          <w:sz w:val="28"/>
          <w:szCs w:val="28"/>
        </w:rPr>
        <w:t xml:space="preserve">% EN </w:t>
      </w:r>
      <w:r w:rsidR="00A22765">
        <w:rPr>
          <w:b/>
          <w:sz w:val="28"/>
          <w:szCs w:val="28"/>
        </w:rPr>
        <w:t xml:space="preserve">CASTILLA </w:t>
      </w:r>
      <w:r w:rsidR="006764C2">
        <w:rPr>
          <w:b/>
          <w:sz w:val="28"/>
          <w:szCs w:val="28"/>
        </w:rPr>
        <w:t xml:space="preserve">Y LEÓN </w:t>
      </w:r>
      <w:r w:rsidR="004174D0" w:rsidRPr="00E267CB">
        <w:rPr>
          <w:b/>
          <w:sz w:val="28"/>
          <w:szCs w:val="28"/>
        </w:rPr>
        <w:t>EN 2021</w:t>
      </w:r>
      <w:r w:rsidRPr="00E267CB">
        <w:rPr>
          <w:b/>
          <w:sz w:val="28"/>
          <w:szCs w:val="28"/>
        </w:rPr>
        <w:t xml:space="preserve">, DONDE </w:t>
      </w:r>
      <w:r w:rsidR="00F24817" w:rsidRPr="006A7BB9">
        <w:rPr>
          <w:b/>
          <w:sz w:val="28"/>
          <w:szCs w:val="28"/>
        </w:rPr>
        <w:t xml:space="preserve">MÁS DE 3.200 </w:t>
      </w:r>
      <w:r w:rsidRPr="006A7BB9">
        <w:rPr>
          <w:b/>
          <w:sz w:val="28"/>
          <w:szCs w:val="28"/>
        </w:rPr>
        <w:t>PERSONAS NECESITAN TRATAMIENTO DE DIÁLISIS O TRASPLANTE</w:t>
      </w:r>
      <w:r w:rsidRPr="00E267CB">
        <w:rPr>
          <w:b/>
          <w:sz w:val="28"/>
          <w:szCs w:val="28"/>
        </w:rPr>
        <w:t xml:space="preserve"> </w:t>
      </w:r>
    </w:p>
    <w:p w14:paraId="3039761F" w14:textId="77777777" w:rsidR="00AB5BB7" w:rsidRPr="007D3BC7" w:rsidRDefault="00AB5BB7">
      <w:pPr>
        <w:spacing w:after="0" w:line="100" w:lineRule="atLeast"/>
        <w:jc w:val="both"/>
        <w:rPr>
          <w:b/>
          <w:sz w:val="28"/>
          <w:szCs w:val="28"/>
          <w:highlight w:val="yellow"/>
        </w:rPr>
      </w:pPr>
    </w:p>
    <w:p w14:paraId="068623F7" w14:textId="0E516BC4" w:rsidR="00D40D79" w:rsidRPr="007703AC" w:rsidRDefault="00D40D79" w:rsidP="00D40D79">
      <w:pPr>
        <w:spacing w:after="0" w:line="240" w:lineRule="auto"/>
        <w:jc w:val="both"/>
        <w:rPr>
          <w:b/>
          <w:bCs/>
          <w:sz w:val="24"/>
          <w:szCs w:val="24"/>
        </w:rPr>
      </w:pPr>
      <w:r w:rsidRPr="007703AC">
        <w:rPr>
          <w:b/>
          <w:bCs/>
          <w:sz w:val="24"/>
          <w:szCs w:val="24"/>
        </w:rPr>
        <w:t xml:space="preserve">La incidencia (nuevos casos) de pacientes con </w:t>
      </w:r>
      <w:r w:rsidRPr="007703AC">
        <w:rPr>
          <w:b/>
          <w:sz w:val="24"/>
          <w:szCs w:val="24"/>
        </w:rPr>
        <w:t xml:space="preserve">Enfermedad Renal Crónica (ERC) </w:t>
      </w:r>
      <w:r w:rsidRPr="007703AC">
        <w:rPr>
          <w:b/>
          <w:bCs/>
          <w:sz w:val="24"/>
          <w:szCs w:val="24"/>
        </w:rPr>
        <w:t xml:space="preserve">en Tratamiento Renal Sustitutivo (TRS) en </w:t>
      </w:r>
      <w:r w:rsidR="00E267CB" w:rsidRPr="007703AC">
        <w:rPr>
          <w:b/>
          <w:bCs/>
          <w:sz w:val="24"/>
          <w:szCs w:val="24"/>
        </w:rPr>
        <w:t>C</w:t>
      </w:r>
      <w:r w:rsidR="001736A6" w:rsidRPr="007703AC">
        <w:rPr>
          <w:b/>
          <w:bCs/>
          <w:sz w:val="24"/>
          <w:szCs w:val="24"/>
        </w:rPr>
        <w:t xml:space="preserve">astilla y León </w:t>
      </w:r>
      <w:r w:rsidRPr="007703AC">
        <w:rPr>
          <w:b/>
          <w:bCs/>
          <w:sz w:val="24"/>
          <w:szCs w:val="24"/>
        </w:rPr>
        <w:t>se sitúa en 1</w:t>
      </w:r>
      <w:r w:rsidR="0057206A" w:rsidRPr="007703AC">
        <w:rPr>
          <w:b/>
          <w:bCs/>
          <w:sz w:val="24"/>
          <w:szCs w:val="24"/>
        </w:rPr>
        <w:t>33</w:t>
      </w:r>
      <w:r w:rsidRPr="007703AC">
        <w:rPr>
          <w:b/>
          <w:bCs/>
          <w:sz w:val="24"/>
          <w:szCs w:val="24"/>
        </w:rPr>
        <w:t xml:space="preserve"> </w:t>
      </w:r>
      <w:r w:rsidRPr="007703AC">
        <w:rPr>
          <w:rFonts w:asciiTheme="minorHAnsi" w:hAnsiTheme="minorHAnsi" w:cstheme="minorHAnsi"/>
          <w:b/>
          <w:bCs/>
          <w:sz w:val="24"/>
          <w:szCs w:val="24"/>
        </w:rPr>
        <w:t xml:space="preserve">personas por millón de población (pmp), </w:t>
      </w:r>
      <w:r w:rsidR="0057206A" w:rsidRPr="007703AC">
        <w:rPr>
          <w:rFonts w:asciiTheme="minorHAnsi" w:hAnsiTheme="minorHAnsi" w:cstheme="minorHAnsi"/>
          <w:b/>
          <w:bCs/>
          <w:sz w:val="24"/>
          <w:szCs w:val="24"/>
        </w:rPr>
        <w:t xml:space="preserve">por debajo de </w:t>
      </w:r>
      <w:r w:rsidR="004174D0" w:rsidRPr="007703AC">
        <w:rPr>
          <w:rFonts w:asciiTheme="minorHAnsi" w:hAnsiTheme="minorHAnsi" w:cstheme="minorHAnsi"/>
          <w:b/>
          <w:bCs/>
          <w:sz w:val="24"/>
          <w:szCs w:val="24"/>
        </w:rPr>
        <w:t xml:space="preserve">la </w:t>
      </w:r>
      <w:r w:rsidRPr="007703AC">
        <w:rPr>
          <w:b/>
          <w:bCs/>
          <w:sz w:val="24"/>
          <w:szCs w:val="24"/>
        </w:rPr>
        <w:t xml:space="preserve">media nacional, según </w:t>
      </w:r>
      <w:r w:rsidR="004174D0" w:rsidRPr="007703AC">
        <w:rPr>
          <w:b/>
          <w:bCs/>
          <w:sz w:val="24"/>
          <w:szCs w:val="24"/>
        </w:rPr>
        <w:t xml:space="preserve">las cifras </w:t>
      </w:r>
      <w:r w:rsidR="00F55CF7" w:rsidRPr="007703AC">
        <w:rPr>
          <w:rFonts w:asciiTheme="minorHAnsi" w:hAnsiTheme="minorHAnsi" w:cstheme="minorHAnsi"/>
          <w:b/>
          <w:bCs/>
          <w:sz w:val="24"/>
          <w:szCs w:val="24"/>
        </w:rPr>
        <w:t xml:space="preserve">de </w:t>
      </w:r>
      <w:r w:rsidR="004174D0" w:rsidRPr="007703AC">
        <w:rPr>
          <w:rFonts w:asciiTheme="minorHAnsi" w:hAnsiTheme="minorHAnsi" w:cstheme="minorHAnsi"/>
          <w:b/>
          <w:bCs/>
          <w:sz w:val="24"/>
          <w:szCs w:val="24"/>
        </w:rPr>
        <w:t xml:space="preserve">2021 del </w:t>
      </w:r>
      <w:r w:rsidRPr="007703AC">
        <w:rPr>
          <w:rFonts w:asciiTheme="minorHAnsi" w:hAnsiTheme="minorHAnsi" w:cstheme="minorHAnsi"/>
          <w:b/>
          <w:bCs/>
          <w:sz w:val="24"/>
          <w:szCs w:val="24"/>
        </w:rPr>
        <w:t>Registro Español de Enfermedades Renales (REER), cuyo último informe se ha presentado en el 5</w:t>
      </w:r>
      <w:r w:rsidR="004174D0" w:rsidRPr="007703AC">
        <w:rPr>
          <w:rFonts w:asciiTheme="minorHAnsi" w:hAnsiTheme="minorHAnsi" w:cstheme="minorHAnsi"/>
          <w:b/>
          <w:bCs/>
          <w:sz w:val="24"/>
          <w:szCs w:val="24"/>
        </w:rPr>
        <w:t>2</w:t>
      </w:r>
      <w:r w:rsidRPr="007703AC">
        <w:rPr>
          <w:rFonts w:asciiTheme="minorHAnsi" w:hAnsiTheme="minorHAnsi" w:cstheme="minorHAnsi"/>
          <w:b/>
          <w:bCs/>
          <w:sz w:val="24"/>
          <w:szCs w:val="24"/>
        </w:rPr>
        <w:t>º Congreso de la Sociedad Española de Nefrología (S.E.N.).</w:t>
      </w:r>
    </w:p>
    <w:p w14:paraId="1C241DD1" w14:textId="025D9007" w:rsidR="00173BEC" w:rsidRPr="006552CB" w:rsidRDefault="00173BEC" w:rsidP="00870EBC">
      <w:pPr>
        <w:spacing w:after="0" w:line="240" w:lineRule="auto"/>
        <w:jc w:val="both"/>
        <w:rPr>
          <w:b/>
          <w:sz w:val="24"/>
          <w:szCs w:val="24"/>
          <w:highlight w:val="yellow"/>
        </w:rPr>
      </w:pPr>
    </w:p>
    <w:p w14:paraId="4DAD5F2F" w14:textId="4C28AAEA" w:rsidR="00E267CB" w:rsidRPr="00E267CB" w:rsidRDefault="00F55CF7" w:rsidP="00E267CB">
      <w:pPr>
        <w:spacing w:after="0" w:line="100" w:lineRule="atLeast"/>
        <w:jc w:val="both"/>
        <w:rPr>
          <w:b/>
          <w:sz w:val="24"/>
          <w:szCs w:val="24"/>
        </w:rPr>
      </w:pPr>
      <w:r w:rsidRPr="007703AC">
        <w:rPr>
          <w:b/>
          <w:bCs/>
          <w:sz w:val="24"/>
          <w:szCs w:val="24"/>
        </w:rPr>
        <w:t>La</w:t>
      </w:r>
      <w:r w:rsidR="00D40D79" w:rsidRPr="007703AC">
        <w:rPr>
          <w:b/>
          <w:bCs/>
          <w:sz w:val="24"/>
          <w:szCs w:val="24"/>
        </w:rPr>
        <w:t xml:space="preserve"> prevalencia (número total de casos) de pacientes con ERC en TRS en </w:t>
      </w:r>
      <w:r w:rsidR="00356F5D" w:rsidRPr="007703AC">
        <w:rPr>
          <w:b/>
          <w:bCs/>
          <w:sz w:val="24"/>
          <w:szCs w:val="24"/>
        </w:rPr>
        <w:t xml:space="preserve">Castilla y León </w:t>
      </w:r>
      <w:r w:rsidR="00E267CB" w:rsidRPr="007703AC">
        <w:rPr>
          <w:b/>
          <w:bCs/>
          <w:sz w:val="24"/>
          <w:szCs w:val="24"/>
        </w:rPr>
        <w:t xml:space="preserve">alcanzó las </w:t>
      </w:r>
      <w:r w:rsidR="00E267CB" w:rsidRPr="007703AC">
        <w:rPr>
          <w:rFonts w:asciiTheme="minorHAnsi" w:hAnsiTheme="minorHAnsi" w:cstheme="minorHAnsi"/>
          <w:b/>
          <w:bCs/>
          <w:sz w:val="24"/>
          <w:szCs w:val="24"/>
        </w:rPr>
        <w:t>1.</w:t>
      </w:r>
      <w:r w:rsidR="00356F5D" w:rsidRPr="007703AC">
        <w:rPr>
          <w:rFonts w:asciiTheme="minorHAnsi" w:hAnsiTheme="minorHAnsi" w:cstheme="minorHAnsi"/>
          <w:b/>
          <w:bCs/>
          <w:sz w:val="24"/>
          <w:szCs w:val="24"/>
        </w:rPr>
        <w:t>351</w:t>
      </w:r>
      <w:r w:rsidR="00E267CB" w:rsidRPr="007703AC">
        <w:rPr>
          <w:rFonts w:asciiTheme="minorHAnsi" w:hAnsiTheme="minorHAnsi" w:cstheme="minorHAnsi"/>
          <w:b/>
          <w:bCs/>
          <w:sz w:val="24"/>
          <w:szCs w:val="24"/>
        </w:rPr>
        <w:t xml:space="preserve"> pmp, </w:t>
      </w:r>
      <w:r w:rsidR="00356F5D" w:rsidRPr="007703AC">
        <w:rPr>
          <w:rFonts w:asciiTheme="minorHAnsi" w:hAnsiTheme="minorHAnsi" w:cstheme="minorHAnsi"/>
          <w:b/>
          <w:bCs/>
          <w:sz w:val="24"/>
          <w:szCs w:val="24"/>
        </w:rPr>
        <w:t xml:space="preserve">también </w:t>
      </w:r>
      <w:r w:rsidR="00E267CB" w:rsidRPr="007703AC">
        <w:rPr>
          <w:rFonts w:asciiTheme="minorHAnsi" w:hAnsiTheme="minorHAnsi" w:cstheme="minorHAnsi"/>
          <w:b/>
          <w:bCs/>
          <w:sz w:val="24"/>
          <w:szCs w:val="24"/>
        </w:rPr>
        <w:t>inferior a la media nacional (</w:t>
      </w:r>
      <w:r w:rsidR="00E267CB" w:rsidRPr="007703AC">
        <w:rPr>
          <w:b/>
          <w:bCs/>
          <w:sz w:val="24"/>
          <w:szCs w:val="24"/>
        </w:rPr>
        <w:t xml:space="preserve">1.387 pmp), pero con un ligero crecimiento </w:t>
      </w:r>
      <w:r w:rsidR="00356F5D" w:rsidRPr="007703AC">
        <w:rPr>
          <w:b/>
          <w:bCs/>
          <w:sz w:val="24"/>
          <w:szCs w:val="24"/>
        </w:rPr>
        <w:t xml:space="preserve">del 3% con respecto a 2020 </w:t>
      </w:r>
      <w:r w:rsidR="00E267CB" w:rsidRPr="007703AC">
        <w:rPr>
          <w:b/>
          <w:bCs/>
          <w:sz w:val="24"/>
          <w:szCs w:val="24"/>
        </w:rPr>
        <w:t>(</w:t>
      </w:r>
      <w:r w:rsidR="00356F5D" w:rsidRPr="007703AC">
        <w:rPr>
          <w:b/>
          <w:bCs/>
          <w:sz w:val="24"/>
          <w:szCs w:val="24"/>
        </w:rPr>
        <w:t xml:space="preserve">en el que tenía </w:t>
      </w:r>
      <w:r w:rsidR="00E267CB" w:rsidRPr="007703AC">
        <w:rPr>
          <w:b/>
          <w:bCs/>
          <w:sz w:val="24"/>
          <w:szCs w:val="24"/>
        </w:rPr>
        <w:t>1.</w:t>
      </w:r>
      <w:r w:rsidR="00356F5D" w:rsidRPr="007703AC">
        <w:rPr>
          <w:b/>
          <w:bCs/>
          <w:sz w:val="24"/>
          <w:szCs w:val="24"/>
        </w:rPr>
        <w:t>310</w:t>
      </w:r>
      <w:r w:rsidR="00E267CB" w:rsidRPr="007703AC">
        <w:rPr>
          <w:b/>
          <w:bCs/>
          <w:sz w:val="24"/>
          <w:szCs w:val="24"/>
        </w:rPr>
        <w:t xml:space="preserve"> pm</w:t>
      </w:r>
      <w:r w:rsidR="00356F5D" w:rsidRPr="007703AC">
        <w:rPr>
          <w:b/>
          <w:bCs/>
          <w:sz w:val="24"/>
          <w:szCs w:val="24"/>
        </w:rPr>
        <w:t>p</w:t>
      </w:r>
      <w:r w:rsidR="00E267CB" w:rsidRPr="007703AC">
        <w:rPr>
          <w:b/>
          <w:bCs/>
          <w:sz w:val="24"/>
          <w:szCs w:val="24"/>
        </w:rPr>
        <w:t>).</w:t>
      </w:r>
    </w:p>
    <w:p w14:paraId="45BA7FB2" w14:textId="685DDFB1" w:rsidR="00E267CB" w:rsidRDefault="00E267CB" w:rsidP="00870EBC">
      <w:pPr>
        <w:spacing w:after="0" w:line="240" w:lineRule="auto"/>
        <w:jc w:val="both"/>
        <w:rPr>
          <w:b/>
          <w:sz w:val="24"/>
          <w:szCs w:val="24"/>
        </w:rPr>
      </w:pPr>
    </w:p>
    <w:p w14:paraId="19CDFA9F" w14:textId="08D887A0" w:rsidR="00F55CF7" w:rsidRPr="00FA2B23" w:rsidRDefault="003B54FA" w:rsidP="00F55CF7">
      <w:pPr>
        <w:spacing w:after="0" w:line="240" w:lineRule="auto"/>
        <w:jc w:val="both"/>
        <w:rPr>
          <w:b/>
          <w:sz w:val="24"/>
          <w:szCs w:val="24"/>
        </w:rPr>
      </w:pPr>
      <w:r w:rsidRPr="00FA2B23">
        <w:rPr>
          <w:b/>
          <w:sz w:val="24"/>
          <w:szCs w:val="24"/>
        </w:rPr>
        <w:t xml:space="preserve">A nivel nacional, </w:t>
      </w:r>
      <w:r w:rsidR="00F55CF7" w:rsidRPr="00FA2B23">
        <w:rPr>
          <w:b/>
          <w:sz w:val="24"/>
          <w:szCs w:val="24"/>
        </w:rPr>
        <w:t xml:space="preserve">la incidencia creció casi un 7% y un total de </w:t>
      </w:r>
      <w:r w:rsidR="00F55CF7" w:rsidRPr="00FA2B23">
        <w:rPr>
          <w:rFonts w:cs="Calibri"/>
          <w:b/>
          <w:sz w:val="24"/>
          <w:szCs w:val="24"/>
        </w:rPr>
        <w:t xml:space="preserve">7.084 personas </w:t>
      </w:r>
      <w:r w:rsidR="00F55CF7" w:rsidRPr="00FA2B23">
        <w:rPr>
          <w:b/>
          <w:sz w:val="24"/>
          <w:szCs w:val="24"/>
        </w:rPr>
        <w:t xml:space="preserve">empezaron a recibir TRS </w:t>
      </w:r>
      <w:r w:rsidR="00F55CF7" w:rsidRPr="00FA2B23">
        <w:rPr>
          <w:rFonts w:cs="Calibri"/>
          <w:b/>
          <w:sz w:val="24"/>
          <w:szCs w:val="24"/>
        </w:rPr>
        <w:t xml:space="preserve">con diálisis o trasplante a lo largo del último año, lo que pone de manifiesto el crecimiento de esta patología en la población española. Por su parte, </w:t>
      </w:r>
      <w:r w:rsidR="00F55CF7" w:rsidRPr="00FA2B23">
        <w:rPr>
          <w:b/>
          <w:sz w:val="24"/>
          <w:szCs w:val="24"/>
        </w:rPr>
        <w:t>la prevalencia también creció un 2%, y 65.740 personas</w:t>
      </w:r>
      <w:r w:rsidR="00F55CF7" w:rsidRPr="00FA2B23">
        <w:rPr>
          <w:rFonts w:cs="Calibri"/>
          <w:b/>
          <w:sz w:val="24"/>
          <w:szCs w:val="24"/>
        </w:rPr>
        <w:t xml:space="preserve"> con ERC avanzada ya reciben tratamiento con diálisis o trasplante. </w:t>
      </w:r>
    </w:p>
    <w:p w14:paraId="0E14709E" w14:textId="77777777" w:rsidR="00F55CF7" w:rsidRPr="00D80E61" w:rsidRDefault="00F55CF7" w:rsidP="00F55CF7">
      <w:pPr>
        <w:spacing w:after="0" w:line="240" w:lineRule="auto"/>
        <w:jc w:val="both"/>
        <w:rPr>
          <w:b/>
          <w:sz w:val="24"/>
          <w:szCs w:val="24"/>
          <w:highlight w:val="yellow"/>
        </w:rPr>
      </w:pPr>
    </w:p>
    <w:p w14:paraId="7093610D" w14:textId="3D18631F" w:rsidR="00F55CF7" w:rsidRPr="00D80E61" w:rsidRDefault="00F55CF7" w:rsidP="00F55CF7">
      <w:pPr>
        <w:spacing w:after="0" w:line="240" w:lineRule="auto"/>
        <w:jc w:val="both"/>
        <w:rPr>
          <w:b/>
          <w:sz w:val="24"/>
          <w:szCs w:val="24"/>
          <w:highlight w:val="yellow"/>
        </w:rPr>
      </w:pPr>
      <w:r>
        <w:rPr>
          <w:b/>
          <w:sz w:val="24"/>
          <w:szCs w:val="24"/>
        </w:rPr>
        <w:t xml:space="preserve">Los </w:t>
      </w:r>
      <w:r w:rsidRPr="00D80E61">
        <w:rPr>
          <w:b/>
          <w:sz w:val="24"/>
          <w:szCs w:val="24"/>
        </w:rPr>
        <w:t xml:space="preserve">trasplantes renales aumentaron un 9% respecto a 2020, </w:t>
      </w:r>
      <w:r>
        <w:rPr>
          <w:b/>
          <w:sz w:val="24"/>
          <w:szCs w:val="24"/>
        </w:rPr>
        <w:t xml:space="preserve">con un total de 2.950 procedimientos realizados, </w:t>
      </w:r>
      <w:r w:rsidR="00FA2B23">
        <w:rPr>
          <w:b/>
          <w:sz w:val="24"/>
          <w:szCs w:val="24"/>
        </w:rPr>
        <w:t xml:space="preserve">destacando el </w:t>
      </w:r>
      <w:r w:rsidRPr="00D80E61">
        <w:rPr>
          <w:b/>
          <w:sz w:val="24"/>
          <w:szCs w:val="24"/>
        </w:rPr>
        <w:t xml:space="preserve">incremento del trasplante de riñón de donante vivo, que </w:t>
      </w:r>
      <w:r>
        <w:rPr>
          <w:b/>
          <w:sz w:val="24"/>
          <w:szCs w:val="24"/>
        </w:rPr>
        <w:t xml:space="preserve">representan </w:t>
      </w:r>
      <w:r w:rsidR="00FA2B23">
        <w:rPr>
          <w:b/>
          <w:sz w:val="24"/>
          <w:szCs w:val="24"/>
        </w:rPr>
        <w:t>casi el 11</w:t>
      </w:r>
      <w:r w:rsidRPr="00D80E61">
        <w:rPr>
          <w:b/>
          <w:sz w:val="24"/>
          <w:szCs w:val="24"/>
        </w:rPr>
        <w:t xml:space="preserve">% de los trasplantes renales en </w:t>
      </w:r>
      <w:r>
        <w:rPr>
          <w:b/>
          <w:sz w:val="24"/>
          <w:szCs w:val="24"/>
        </w:rPr>
        <w:t>España</w:t>
      </w:r>
      <w:r w:rsidRPr="00D80E61">
        <w:rPr>
          <w:b/>
          <w:sz w:val="24"/>
          <w:szCs w:val="24"/>
        </w:rPr>
        <w:t>.</w:t>
      </w:r>
    </w:p>
    <w:p w14:paraId="60FF2FA0" w14:textId="77777777" w:rsidR="00F55CF7" w:rsidRPr="00D80E61" w:rsidRDefault="00F55CF7" w:rsidP="00F55CF7">
      <w:pPr>
        <w:spacing w:after="0" w:line="240" w:lineRule="auto"/>
        <w:jc w:val="both"/>
        <w:rPr>
          <w:b/>
          <w:sz w:val="24"/>
          <w:szCs w:val="24"/>
          <w:highlight w:val="yellow"/>
        </w:rPr>
      </w:pPr>
    </w:p>
    <w:p w14:paraId="38D2E95D" w14:textId="77777777" w:rsidR="00F55CF7" w:rsidRPr="00D80E61" w:rsidRDefault="00F55CF7" w:rsidP="00F55CF7">
      <w:pPr>
        <w:spacing w:after="0" w:line="240" w:lineRule="auto"/>
        <w:jc w:val="both"/>
        <w:rPr>
          <w:b/>
          <w:sz w:val="24"/>
          <w:szCs w:val="24"/>
        </w:rPr>
      </w:pPr>
      <w:bookmarkStart w:id="0" w:name="_Hlk85372114"/>
      <w:r w:rsidRPr="00D80E61">
        <w:rPr>
          <w:b/>
          <w:sz w:val="24"/>
          <w:szCs w:val="24"/>
        </w:rPr>
        <w:t xml:space="preserve">Por su parte, la mortalidad de los pacientes renales en TRS descendió un 4%, con </w:t>
      </w:r>
      <w:r w:rsidRPr="00D80E61">
        <w:rPr>
          <w:rFonts w:cs="Calibri"/>
          <w:b/>
          <w:sz w:val="24"/>
          <w:szCs w:val="24"/>
        </w:rPr>
        <w:t>5.625 personas fallecidas, y una tasa global del 8%.</w:t>
      </w:r>
    </w:p>
    <w:bookmarkEnd w:id="0"/>
    <w:p w14:paraId="0E4F5F44" w14:textId="77777777" w:rsidR="00F55CF7" w:rsidRPr="00D80E61" w:rsidRDefault="00F55CF7" w:rsidP="00F55CF7">
      <w:pPr>
        <w:spacing w:after="0" w:line="240" w:lineRule="auto"/>
        <w:jc w:val="both"/>
        <w:rPr>
          <w:b/>
          <w:sz w:val="24"/>
          <w:szCs w:val="24"/>
        </w:rPr>
      </w:pPr>
    </w:p>
    <w:p w14:paraId="16067C50" w14:textId="6B9F7E6A" w:rsidR="00F55CF7" w:rsidRPr="00D80E61" w:rsidRDefault="00F55CF7" w:rsidP="00F55CF7">
      <w:pPr>
        <w:spacing w:after="0" w:line="240" w:lineRule="auto"/>
        <w:jc w:val="both"/>
        <w:rPr>
          <w:b/>
          <w:bCs/>
          <w:sz w:val="24"/>
          <w:szCs w:val="24"/>
        </w:rPr>
      </w:pPr>
      <w:r w:rsidRPr="00D80E61">
        <w:rPr>
          <w:rFonts w:cs="Calibri"/>
          <w:b/>
          <w:bCs/>
          <w:sz w:val="24"/>
          <w:szCs w:val="24"/>
        </w:rPr>
        <w:t xml:space="preserve">Estos datos se han presentado en el 52º Congreso Nacional de la S.E.N., que se </w:t>
      </w:r>
      <w:r>
        <w:rPr>
          <w:rFonts w:cs="Calibri"/>
          <w:b/>
          <w:bCs/>
          <w:sz w:val="24"/>
          <w:szCs w:val="24"/>
        </w:rPr>
        <w:t xml:space="preserve">ha </w:t>
      </w:r>
      <w:r w:rsidRPr="00D80E61">
        <w:rPr>
          <w:rFonts w:cs="Calibri"/>
          <w:b/>
          <w:bCs/>
          <w:sz w:val="24"/>
          <w:szCs w:val="24"/>
        </w:rPr>
        <w:t>celebra</w:t>
      </w:r>
      <w:r>
        <w:rPr>
          <w:rFonts w:cs="Calibri"/>
          <w:b/>
          <w:bCs/>
          <w:sz w:val="24"/>
          <w:szCs w:val="24"/>
        </w:rPr>
        <w:t>do</w:t>
      </w:r>
      <w:r w:rsidRPr="00D80E61">
        <w:rPr>
          <w:rFonts w:cs="Calibri"/>
          <w:b/>
          <w:bCs/>
          <w:sz w:val="24"/>
          <w:szCs w:val="24"/>
        </w:rPr>
        <w:t xml:space="preserve"> en Granada</w:t>
      </w:r>
      <w:r>
        <w:rPr>
          <w:rFonts w:cs="Calibri"/>
          <w:b/>
          <w:bCs/>
          <w:sz w:val="24"/>
          <w:szCs w:val="24"/>
        </w:rPr>
        <w:t>,</w:t>
      </w:r>
      <w:r w:rsidRPr="00D80E61">
        <w:rPr>
          <w:rFonts w:cs="Calibri"/>
          <w:b/>
          <w:bCs/>
          <w:sz w:val="24"/>
          <w:szCs w:val="24"/>
        </w:rPr>
        <w:t xml:space="preserve"> con la participación de 1.200 nefrólogos y </w:t>
      </w:r>
      <w:r w:rsidRPr="00D80E61">
        <w:rPr>
          <w:b/>
          <w:bCs/>
          <w:sz w:val="24"/>
          <w:szCs w:val="24"/>
        </w:rPr>
        <w:t>expertos nacionales e internacionales para abordar los últimos avances, investigaciones y estrategias para una mejor prevención, diagnóstico y tratamiento de la ERC, y la mejora de calidad de vida de los pacientes.</w:t>
      </w:r>
    </w:p>
    <w:p w14:paraId="57618019" w14:textId="77777777" w:rsidR="003B54FA" w:rsidRPr="009407D8" w:rsidRDefault="003B54FA" w:rsidP="003B54FA">
      <w:pPr>
        <w:spacing w:after="0" w:line="240" w:lineRule="auto"/>
        <w:jc w:val="both"/>
        <w:rPr>
          <w:b/>
          <w:sz w:val="28"/>
          <w:szCs w:val="28"/>
        </w:rPr>
      </w:pPr>
    </w:p>
    <w:p w14:paraId="432F8761" w14:textId="14747D4E" w:rsidR="00D43E47" w:rsidRPr="008F4BAC" w:rsidRDefault="00D64023" w:rsidP="00D43E47">
      <w:pPr>
        <w:spacing w:after="0" w:line="100" w:lineRule="atLeast"/>
        <w:jc w:val="both"/>
        <w:rPr>
          <w:rFonts w:asciiTheme="minorHAnsi" w:hAnsiTheme="minorHAnsi" w:cstheme="minorHAnsi"/>
          <w:sz w:val="23"/>
          <w:szCs w:val="23"/>
        </w:rPr>
      </w:pPr>
      <w:r w:rsidRPr="008F4BAC">
        <w:rPr>
          <w:b/>
          <w:sz w:val="23"/>
          <w:szCs w:val="23"/>
        </w:rPr>
        <w:t>1</w:t>
      </w:r>
      <w:r w:rsidR="00F5533E">
        <w:rPr>
          <w:b/>
          <w:sz w:val="23"/>
          <w:szCs w:val="23"/>
        </w:rPr>
        <w:t>7</w:t>
      </w:r>
      <w:r w:rsidR="00870EBC" w:rsidRPr="008F4BAC">
        <w:rPr>
          <w:b/>
          <w:sz w:val="23"/>
          <w:szCs w:val="23"/>
        </w:rPr>
        <w:t xml:space="preserve"> de </w:t>
      </w:r>
      <w:r w:rsidRPr="008F4BAC">
        <w:rPr>
          <w:b/>
          <w:sz w:val="23"/>
          <w:szCs w:val="23"/>
        </w:rPr>
        <w:t xml:space="preserve">noviembre </w:t>
      </w:r>
      <w:r w:rsidR="00870EBC" w:rsidRPr="008F4BAC">
        <w:rPr>
          <w:b/>
          <w:sz w:val="23"/>
          <w:szCs w:val="23"/>
        </w:rPr>
        <w:t>de 202</w:t>
      </w:r>
      <w:r w:rsidRPr="008F4BAC">
        <w:rPr>
          <w:b/>
          <w:sz w:val="23"/>
          <w:szCs w:val="23"/>
        </w:rPr>
        <w:t>2</w:t>
      </w:r>
      <w:r w:rsidR="00870EBC" w:rsidRPr="008F4BAC">
        <w:rPr>
          <w:b/>
          <w:sz w:val="23"/>
          <w:szCs w:val="23"/>
        </w:rPr>
        <w:t>.-</w:t>
      </w:r>
      <w:r w:rsidR="00870EBC" w:rsidRPr="008F4BAC">
        <w:rPr>
          <w:sz w:val="23"/>
          <w:szCs w:val="23"/>
        </w:rPr>
        <w:t xml:space="preserve"> La Enfermedad Renal Crónica (ERC)</w:t>
      </w:r>
      <w:r w:rsidR="00CC7FB6" w:rsidRPr="008F4BAC">
        <w:rPr>
          <w:sz w:val="23"/>
          <w:szCs w:val="23"/>
        </w:rPr>
        <w:t xml:space="preserve"> </w:t>
      </w:r>
      <w:r w:rsidR="00D43E47" w:rsidRPr="008F4BAC">
        <w:rPr>
          <w:sz w:val="23"/>
          <w:szCs w:val="23"/>
        </w:rPr>
        <w:t xml:space="preserve">crece en </w:t>
      </w:r>
      <w:r w:rsidR="00392B34">
        <w:rPr>
          <w:sz w:val="23"/>
          <w:szCs w:val="23"/>
        </w:rPr>
        <w:t xml:space="preserve">Castilla </w:t>
      </w:r>
      <w:r w:rsidR="00E20A42">
        <w:rPr>
          <w:sz w:val="23"/>
          <w:szCs w:val="23"/>
        </w:rPr>
        <w:t>y León</w:t>
      </w:r>
      <w:r w:rsidR="00D40D79" w:rsidRPr="008F4BAC">
        <w:rPr>
          <w:sz w:val="23"/>
          <w:szCs w:val="23"/>
        </w:rPr>
        <w:t xml:space="preserve">, donde la incidencia (número de nuevos casos) de pacientes con ERC en Tratamiento Renal Sustitutivo </w:t>
      </w:r>
      <w:r w:rsidR="00D43E47" w:rsidRPr="008F4BAC">
        <w:rPr>
          <w:sz w:val="23"/>
          <w:szCs w:val="23"/>
        </w:rPr>
        <w:t xml:space="preserve">(TRS) durante el pasado año aumentó un </w:t>
      </w:r>
      <w:r w:rsidR="00D01F71">
        <w:rPr>
          <w:sz w:val="23"/>
          <w:szCs w:val="23"/>
        </w:rPr>
        <w:t>11</w:t>
      </w:r>
      <w:r w:rsidR="00D43E47" w:rsidRPr="008F4BAC">
        <w:rPr>
          <w:sz w:val="23"/>
          <w:szCs w:val="23"/>
        </w:rPr>
        <w:t>%</w:t>
      </w:r>
      <w:r w:rsidR="00D40D79" w:rsidRPr="008F4BAC">
        <w:rPr>
          <w:sz w:val="23"/>
          <w:szCs w:val="23"/>
        </w:rPr>
        <w:t xml:space="preserve">, según los </w:t>
      </w:r>
      <w:r w:rsidR="00D43E47" w:rsidRPr="008F4BAC">
        <w:rPr>
          <w:rFonts w:cs="Calibri"/>
          <w:sz w:val="23"/>
          <w:szCs w:val="23"/>
        </w:rPr>
        <w:t xml:space="preserve">datos de 2021 relativos al número de pacientes con ERC avanzada en España, es decir, pacientes que necesitan TRS con diálisis o trasplante, que se han dado a conocer en el congreso anual de la Sociedad Española de Nefrología (S.E.N.). Esta enfermedad se ha convertido en un grave problema de salud pública </w:t>
      </w:r>
      <w:r w:rsidR="00D43E47" w:rsidRPr="008F4BAC">
        <w:rPr>
          <w:rFonts w:cs="Calibri"/>
          <w:sz w:val="23"/>
          <w:szCs w:val="23"/>
        </w:rPr>
        <w:lastRenderedPageBreak/>
        <w:t>y es considerada por los expertos como la “</w:t>
      </w:r>
      <w:r w:rsidR="00D43E47" w:rsidRPr="008F4BAC">
        <w:rPr>
          <w:rFonts w:cs="Calibri"/>
          <w:i/>
          <w:sz w:val="23"/>
          <w:szCs w:val="23"/>
        </w:rPr>
        <w:t>epidemia silenciosa</w:t>
      </w:r>
      <w:r w:rsidR="00D43E47" w:rsidRPr="008F4BAC">
        <w:rPr>
          <w:rFonts w:cs="Calibri"/>
          <w:sz w:val="23"/>
          <w:szCs w:val="23"/>
        </w:rPr>
        <w:t xml:space="preserve">”, </w:t>
      </w:r>
      <w:r w:rsidR="00D43E47" w:rsidRPr="008F4BAC">
        <w:rPr>
          <w:rStyle w:val="A5"/>
          <w:rFonts w:asciiTheme="minorHAnsi" w:hAnsiTheme="minorHAnsi" w:cstheme="minorHAnsi"/>
          <w:color w:val="auto"/>
          <w:sz w:val="23"/>
          <w:szCs w:val="23"/>
        </w:rPr>
        <w:t xml:space="preserve">debido a que sus síntomas son poco reconocibles en los estadios iniciales y </w:t>
      </w:r>
      <w:r w:rsidR="00D43E47" w:rsidRPr="008F4BAC">
        <w:rPr>
          <w:rFonts w:asciiTheme="minorHAnsi" w:hAnsiTheme="minorHAnsi" w:cstheme="minorHAnsi"/>
          <w:sz w:val="23"/>
          <w:szCs w:val="23"/>
        </w:rPr>
        <w:t xml:space="preserve">cuenta con una alta tasa de infradiagnóstico. </w:t>
      </w:r>
    </w:p>
    <w:p w14:paraId="74807D6E" w14:textId="77777777" w:rsidR="00D40D79" w:rsidRPr="008F4BAC" w:rsidRDefault="00D40D79" w:rsidP="00CC7FB6">
      <w:pPr>
        <w:spacing w:after="0" w:line="100" w:lineRule="atLeast"/>
        <w:jc w:val="both"/>
        <w:rPr>
          <w:sz w:val="23"/>
          <w:szCs w:val="23"/>
        </w:rPr>
      </w:pPr>
    </w:p>
    <w:p w14:paraId="6C5B31DF" w14:textId="1FF73DCB" w:rsidR="00D40D79" w:rsidRPr="008F4BAC" w:rsidRDefault="00D40D79" w:rsidP="00D40D79">
      <w:pPr>
        <w:spacing w:after="0" w:line="100" w:lineRule="atLeast"/>
        <w:jc w:val="both"/>
        <w:rPr>
          <w:sz w:val="23"/>
          <w:szCs w:val="23"/>
        </w:rPr>
      </w:pPr>
      <w:r w:rsidRPr="008F4BAC">
        <w:rPr>
          <w:sz w:val="23"/>
          <w:szCs w:val="23"/>
        </w:rPr>
        <w:t xml:space="preserve">En concreto, la incidencia de pacientes con ERC en TRS en </w:t>
      </w:r>
      <w:r w:rsidR="007D3BC7">
        <w:rPr>
          <w:b/>
          <w:bCs/>
          <w:sz w:val="23"/>
          <w:szCs w:val="23"/>
        </w:rPr>
        <w:t>Ca</w:t>
      </w:r>
      <w:r w:rsidR="00392B34">
        <w:rPr>
          <w:b/>
          <w:bCs/>
          <w:sz w:val="23"/>
          <w:szCs w:val="23"/>
        </w:rPr>
        <w:t xml:space="preserve">stilla </w:t>
      </w:r>
      <w:r w:rsidR="00D01F71">
        <w:rPr>
          <w:b/>
          <w:bCs/>
          <w:sz w:val="23"/>
          <w:szCs w:val="23"/>
        </w:rPr>
        <w:t xml:space="preserve">y León </w:t>
      </w:r>
      <w:r w:rsidR="00D43E47" w:rsidRPr="008F4BAC">
        <w:rPr>
          <w:sz w:val="23"/>
          <w:szCs w:val="23"/>
        </w:rPr>
        <w:t>se sitúa en 1</w:t>
      </w:r>
      <w:r w:rsidR="00D01F71">
        <w:rPr>
          <w:sz w:val="23"/>
          <w:szCs w:val="23"/>
        </w:rPr>
        <w:t>33</w:t>
      </w:r>
      <w:r w:rsidR="00D43E47" w:rsidRPr="008F4BAC">
        <w:rPr>
          <w:sz w:val="23"/>
          <w:szCs w:val="23"/>
        </w:rPr>
        <w:t xml:space="preserve"> </w:t>
      </w:r>
      <w:r w:rsidRPr="008F4BAC">
        <w:rPr>
          <w:rFonts w:asciiTheme="minorHAnsi" w:hAnsiTheme="minorHAnsi" w:cstheme="minorHAnsi"/>
          <w:sz w:val="23"/>
          <w:szCs w:val="23"/>
        </w:rPr>
        <w:t xml:space="preserve">personas por millón de población (pmp), </w:t>
      </w:r>
      <w:r w:rsidR="00392B34">
        <w:rPr>
          <w:rFonts w:asciiTheme="minorHAnsi" w:hAnsiTheme="minorHAnsi" w:cstheme="minorHAnsi"/>
          <w:sz w:val="23"/>
          <w:szCs w:val="23"/>
        </w:rPr>
        <w:t xml:space="preserve">debajo </w:t>
      </w:r>
      <w:r w:rsidR="007D3BC7">
        <w:rPr>
          <w:rFonts w:asciiTheme="minorHAnsi" w:hAnsiTheme="minorHAnsi" w:cstheme="minorHAnsi"/>
          <w:sz w:val="23"/>
          <w:szCs w:val="23"/>
        </w:rPr>
        <w:t xml:space="preserve">de </w:t>
      </w:r>
      <w:r w:rsidR="00D43E47" w:rsidRPr="008F4BAC">
        <w:rPr>
          <w:rFonts w:asciiTheme="minorHAnsi" w:hAnsiTheme="minorHAnsi" w:cstheme="minorHAnsi"/>
          <w:sz w:val="23"/>
          <w:szCs w:val="23"/>
        </w:rPr>
        <w:t xml:space="preserve">la </w:t>
      </w:r>
      <w:r w:rsidRPr="008F4BAC">
        <w:rPr>
          <w:sz w:val="23"/>
          <w:szCs w:val="23"/>
        </w:rPr>
        <w:t>media nacion</w:t>
      </w:r>
      <w:r w:rsidR="00D43E47" w:rsidRPr="008F4BAC">
        <w:rPr>
          <w:sz w:val="23"/>
          <w:szCs w:val="23"/>
        </w:rPr>
        <w:t>al en España</w:t>
      </w:r>
      <w:r w:rsidR="00392B34">
        <w:rPr>
          <w:sz w:val="23"/>
          <w:szCs w:val="23"/>
        </w:rPr>
        <w:t xml:space="preserve"> (149</w:t>
      </w:r>
      <w:r w:rsidR="006A7BB9">
        <w:rPr>
          <w:sz w:val="23"/>
          <w:szCs w:val="23"/>
        </w:rPr>
        <w:t xml:space="preserve"> pmp</w:t>
      </w:r>
      <w:r w:rsidR="00392B34">
        <w:rPr>
          <w:sz w:val="23"/>
          <w:szCs w:val="23"/>
        </w:rPr>
        <w:t>)</w:t>
      </w:r>
      <w:r w:rsidRPr="008F4BAC">
        <w:rPr>
          <w:sz w:val="23"/>
          <w:szCs w:val="23"/>
        </w:rPr>
        <w:t>,</w:t>
      </w:r>
      <w:r w:rsidR="007D3BC7">
        <w:rPr>
          <w:sz w:val="23"/>
          <w:szCs w:val="23"/>
        </w:rPr>
        <w:t xml:space="preserve"> pero bastante superior a la registrada en 2020, </w:t>
      </w:r>
      <w:r w:rsidR="00D01F71">
        <w:rPr>
          <w:sz w:val="23"/>
          <w:szCs w:val="23"/>
        </w:rPr>
        <w:t>que se situaba en 119</w:t>
      </w:r>
      <w:r w:rsidR="007D3BC7">
        <w:rPr>
          <w:sz w:val="23"/>
          <w:szCs w:val="23"/>
        </w:rPr>
        <w:t xml:space="preserve"> pmp</w:t>
      </w:r>
      <w:r w:rsidRPr="008F4BAC">
        <w:rPr>
          <w:sz w:val="23"/>
          <w:szCs w:val="23"/>
        </w:rPr>
        <w:t>. De este modo</w:t>
      </w:r>
      <w:r w:rsidR="001736A6">
        <w:rPr>
          <w:sz w:val="23"/>
          <w:szCs w:val="23"/>
        </w:rPr>
        <w:t xml:space="preserve">, Castilla y León </w:t>
      </w:r>
      <w:r w:rsidRPr="008F4BAC">
        <w:rPr>
          <w:sz w:val="23"/>
          <w:szCs w:val="23"/>
        </w:rPr>
        <w:t xml:space="preserve">se sitúa entre las comunidades españolas que </w:t>
      </w:r>
      <w:r w:rsidR="007D3BC7">
        <w:rPr>
          <w:sz w:val="23"/>
          <w:szCs w:val="23"/>
        </w:rPr>
        <w:t xml:space="preserve">más </w:t>
      </w:r>
      <w:r w:rsidR="00D43E47" w:rsidRPr="008F4BAC">
        <w:rPr>
          <w:sz w:val="23"/>
          <w:szCs w:val="23"/>
        </w:rPr>
        <w:t xml:space="preserve">aumentaron </w:t>
      </w:r>
      <w:r w:rsidRPr="008F4BAC">
        <w:rPr>
          <w:sz w:val="23"/>
          <w:szCs w:val="23"/>
        </w:rPr>
        <w:t xml:space="preserve">su incidencia en </w:t>
      </w:r>
      <w:r w:rsidR="00CB01F5">
        <w:rPr>
          <w:sz w:val="23"/>
          <w:szCs w:val="23"/>
        </w:rPr>
        <w:t xml:space="preserve">el año </w:t>
      </w:r>
      <w:r w:rsidR="00D43E47" w:rsidRPr="008F4BAC">
        <w:rPr>
          <w:sz w:val="23"/>
          <w:szCs w:val="23"/>
        </w:rPr>
        <w:t>2021</w:t>
      </w:r>
      <w:r w:rsidRPr="008F4BAC">
        <w:rPr>
          <w:sz w:val="23"/>
          <w:szCs w:val="23"/>
        </w:rPr>
        <w:t xml:space="preserve">. </w:t>
      </w:r>
    </w:p>
    <w:p w14:paraId="6DACCA62" w14:textId="0CDC95E8" w:rsidR="00D40D79" w:rsidRPr="008F4BAC" w:rsidRDefault="00D40D79" w:rsidP="00CC7FB6">
      <w:pPr>
        <w:spacing w:after="0" w:line="100" w:lineRule="atLeast"/>
        <w:jc w:val="both"/>
        <w:rPr>
          <w:sz w:val="23"/>
          <w:szCs w:val="23"/>
        </w:rPr>
      </w:pPr>
    </w:p>
    <w:p w14:paraId="267A8E2F" w14:textId="3ECCA89D" w:rsidR="00D40D79" w:rsidRPr="008F4BAC" w:rsidRDefault="00D40D79" w:rsidP="00D40D79">
      <w:pPr>
        <w:spacing w:after="0" w:line="100" w:lineRule="atLeast"/>
        <w:jc w:val="both"/>
        <w:rPr>
          <w:rFonts w:asciiTheme="minorHAnsi" w:hAnsiTheme="minorHAnsi" w:cstheme="minorHAnsi"/>
          <w:sz w:val="23"/>
          <w:szCs w:val="23"/>
        </w:rPr>
      </w:pPr>
      <w:r w:rsidRPr="008F4BAC">
        <w:rPr>
          <w:sz w:val="23"/>
          <w:szCs w:val="23"/>
        </w:rPr>
        <w:t xml:space="preserve">Por su parte, la prevalencia (número total de casos) de pacientes con ERC en TRS en </w:t>
      </w:r>
      <w:r w:rsidR="00D01F71">
        <w:rPr>
          <w:sz w:val="23"/>
          <w:szCs w:val="23"/>
        </w:rPr>
        <w:t xml:space="preserve">la comunidad castellanoleonesa </w:t>
      </w:r>
      <w:r w:rsidRPr="008F4BAC">
        <w:rPr>
          <w:sz w:val="23"/>
          <w:szCs w:val="23"/>
        </w:rPr>
        <w:t xml:space="preserve">alcanzó las </w:t>
      </w:r>
      <w:r w:rsidRPr="008F4BAC">
        <w:rPr>
          <w:rFonts w:asciiTheme="minorHAnsi" w:hAnsiTheme="minorHAnsi" w:cstheme="minorHAnsi"/>
          <w:sz w:val="23"/>
          <w:szCs w:val="23"/>
        </w:rPr>
        <w:t>1.</w:t>
      </w:r>
      <w:r w:rsidR="00D01F71">
        <w:rPr>
          <w:rFonts w:asciiTheme="minorHAnsi" w:hAnsiTheme="minorHAnsi" w:cstheme="minorHAnsi"/>
          <w:sz w:val="23"/>
          <w:szCs w:val="23"/>
        </w:rPr>
        <w:t>351</w:t>
      </w:r>
      <w:r w:rsidRPr="008F4BAC">
        <w:rPr>
          <w:rFonts w:asciiTheme="minorHAnsi" w:hAnsiTheme="minorHAnsi" w:cstheme="minorHAnsi"/>
          <w:sz w:val="23"/>
          <w:szCs w:val="23"/>
        </w:rPr>
        <w:t xml:space="preserve"> pmp, </w:t>
      </w:r>
      <w:r w:rsidR="006552CB">
        <w:rPr>
          <w:rFonts w:asciiTheme="minorHAnsi" w:hAnsiTheme="minorHAnsi" w:cstheme="minorHAnsi"/>
          <w:sz w:val="23"/>
          <w:szCs w:val="23"/>
        </w:rPr>
        <w:t xml:space="preserve">también </w:t>
      </w:r>
      <w:r w:rsidRPr="008F4BAC">
        <w:rPr>
          <w:rFonts w:asciiTheme="minorHAnsi" w:hAnsiTheme="minorHAnsi" w:cstheme="minorHAnsi"/>
          <w:sz w:val="23"/>
          <w:szCs w:val="23"/>
        </w:rPr>
        <w:t>inferior a la media nacional (</w:t>
      </w:r>
      <w:r w:rsidR="00D43E47" w:rsidRPr="008F4BAC">
        <w:rPr>
          <w:sz w:val="23"/>
          <w:szCs w:val="23"/>
        </w:rPr>
        <w:t>1.387</w:t>
      </w:r>
      <w:r w:rsidRPr="008F4BAC">
        <w:rPr>
          <w:sz w:val="23"/>
          <w:szCs w:val="23"/>
        </w:rPr>
        <w:t xml:space="preserve"> pmp), </w:t>
      </w:r>
      <w:r w:rsidR="002F7F1E" w:rsidRPr="008F4BAC">
        <w:rPr>
          <w:sz w:val="23"/>
          <w:szCs w:val="23"/>
        </w:rPr>
        <w:t xml:space="preserve">pero </w:t>
      </w:r>
      <w:r w:rsidR="00D43E47" w:rsidRPr="008F4BAC">
        <w:rPr>
          <w:sz w:val="23"/>
          <w:szCs w:val="23"/>
        </w:rPr>
        <w:t xml:space="preserve">con </w:t>
      </w:r>
      <w:r w:rsidR="00D43E47" w:rsidRPr="00F24817">
        <w:rPr>
          <w:sz w:val="23"/>
          <w:szCs w:val="23"/>
        </w:rPr>
        <w:t>un</w:t>
      </w:r>
      <w:r w:rsidR="00F15E39">
        <w:rPr>
          <w:sz w:val="23"/>
          <w:szCs w:val="23"/>
        </w:rPr>
        <w:t xml:space="preserve"> </w:t>
      </w:r>
      <w:r w:rsidR="00D43E47" w:rsidRPr="00F24817">
        <w:rPr>
          <w:sz w:val="23"/>
          <w:szCs w:val="23"/>
        </w:rPr>
        <w:t xml:space="preserve">crecimiento </w:t>
      </w:r>
      <w:r w:rsidR="00BE0EFA" w:rsidRPr="00F24817">
        <w:rPr>
          <w:sz w:val="23"/>
          <w:szCs w:val="23"/>
        </w:rPr>
        <w:t xml:space="preserve">del </w:t>
      </w:r>
      <w:r w:rsidR="00D01F71">
        <w:rPr>
          <w:sz w:val="23"/>
          <w:szCs w:val="23"/>
        </w:rPr>
        <w:t>3</w:t>
      </w:r>
      <w:r w:rsidR="00BE0EFA" w:rsidRPr="00F24817">
        <w:rPr>
          <w:sz w:val="23"/>
          <w:szCs w:val="23"/>
        </w:rPr>
        <w:t xml:space="preserve">% </w:t>
      </w:r>
      <w:r w:rsidRPr="00F24817">
        <w:rPr>
          <w:sz w:val="23"/>
          <w:szCs w:val="23"/>
        </w:rPr>
        <w:t>con respecto a 20</w:t>
      </w:r>
      <w:r w:rsidR="00D43E47" w:rsidRPr="00F24817">
        <w:rPr>
          <w:sz w:val="23"/>
          <w:szCs w:val="23"/>
        </w:rPr>
        <w:t>20</w:t>
      </w:r>
      <w:r w:rsidR="007D3BC7" w:rsidRPr="00F24817">
        <w:rPr>
          <w:sz w:val="23"/>
          <w:szCs w:val="23"/>
        </w:rPr>
        <w:t xml:space="preserve"> (en el que se situaba en 1.</w:t>
      </w:r>
      <w:r w:rsidR="00D01F71">
        <w:rPr>
          <w:sz w:val="23"/>
          <w:szCs w:val="23"/>
        </w:rPr>
        <w:t>310</w:t>
      </w:r>
      <w:r w:rsidR="007D3BC7" w:rsidRPr="00F24817">
        <w:rPr>
          <w:sz w:val="23"/>
          <w:szCs w:val="23"/>
        </w:rPr>
        <w:t xml:space="preserve"> pm</w:t>
      </w:r>
      <w:r w:rsidR="00392B34" w:rsidRPr="00F24817">
        <w:rPr>
          <w:sz w:val="23"/>
          <w:szCs w:val="23"/>
        </w:rPr>
        <w:t>p</w:t>
      </w:r>
      <w:r w:rsidR="007D3BC7" w:rsidRPr="00F24817">
        <w:rPr>
          <w:sz w:val="23"/>
          <w:szCs w:val="23"/>
        </w:rPr>
        <w:t>)</w:t>
      </w:r>
      <w:r w:rsidRPr="00F24817">
        <w:rPr>
          <w:sz w:val="23"/>
          <w:szCs w:val="23"/>
        </w:rPr>
        <w:t xml:space="preserve">. </w:t>
      </w:r>
      <w:r w:rsidR="002F7F1E" w:rsidRPr="006A7BB9">
        <w:rPr>
          <w:sz w:val="23"/>
          <w:szCs w:val="23"/>
        </w:rPr>
        <w:t xml:space="preserve">Con todo </w:t>
      </w:r>
      <w:r w:rsidRPr="006A7BB9">
        <w:rPr>
          <w:sz w:val="23"/>
          <w:szCs w:val="23"/>
        </w:rPr>
        <w:t xml:space="preserve">ello, </w:t>
      </w:r>
      <w:r w:rsidR="00F24817" w:rsidRPr="006A7BB9">
        <w:rPr>
          <w:sz w:val="23"/>
          <w:szCs w:val="23"/>
        </w:rPr>
        <w:t xml:space="preserve">más de 3.200 </w:t>
      </w:r>
      <w:r w:rsidRPr="006A7BB9">
        <w:rPr>
          <w:sz w:val="23"/>
          <w:szCs w:val="23"/>
        </w:rPr>
        <w:t xml:space="preserve">personas en </w:t>
      </w:r>
      <w:r w:rsidR="003A39CB" w:rsidRPr="006A7BB9">
        <w:rPr>
          <w:b/>
          <w:bCs/>
          <w:sz w:val="23"/>
          <w:szCs w:val="23"/>
        </w:rPr>
        <w:t>Castilla y León</w:t>
      </w:r>
      <w:r w:rsidR="003A39CB" w:rsidRPr="006A7BB9">
        <w:rPr>
          <w:sz w:val="23"/>
          <w:szCs w:val="23"/>
        </w:rPr>
        <w:t xml:space="preserve"> </w:t>
      </w:r>
      <w:r w:rsidRPr="006A7BB9">
        <w:rPr>
          <w:sz w:val="23"/>
          <w:szCs w:val="23"/>
        </w:rPr>
        <w:t xml:space="preserve">precisan TRS </w:t>
      </w:r>
      <w:r w:rsidRPr="006A7BB9">
        <w:rPr>
          <w:rFonts w:asciiTheme="minorHAnsi" w:hAnsiTheme="minorHAnsi" w:cstheme="minorHAnsi"/>
          <w:sz w:val="23"/>
          <w:szCs w:val="23"/>
        </w:rPr>
        <w:t>para reemplazar la función de sus riñones, es decir, diálisis o trasplante.</w:t>
      </w:r>
      <w:r w:rsidRPr="008F4BAC">
        <w:rPr>
          <w:rFonts w:asciiTheme="minorHAnsi" w:hAnsiTheme="minorHAnsi" w:cstheme="minorHAnsi"/>
          <w:sz w:val="23"/>
          <w:szCs w:val="23"/>
        </w:rPr>
        <w:t xml:space="preserve"> </w:t>
      </w:r>
    </w:p>
    <w:p w14:paraId="5F132BC1" w14:textId="77777777" w:rsidR="00331BDC" w:rsidRPr="008F4BAC" w:rsidRDefault="00331BDC" w:rsidP="00D40D79">
      <w:pPr>
        <w:spacing w:after="0" w:line="100" w:lineRule="atLeast"/>
        <w:jc w:val="both"/>
        <w:rPr>
          <w:rFonts w:asciiTheme="minorHAnsi" w:hAnsiTheme="minorHAnsi" w:cstheme="minorHAnsi"/>
          <w:sz w:val="23"/>
          <w:szCs w:val="23"/>
        </w:rPr>
      </w:pPr>
    </w:p>
    <w:p w14:paraId="15AD8868" w14:textId="5D372A33" w:rsidR="00D43E47" w:rsidRPr="008F4BAC" w:rsidRDefault="005705CC" w:rsidP="00D43E47">
      <w:pPr>
        <w:spacing w:after="0" w:line="100" w:lineRule="atLeast"/>
        <w:jc w:val="both"/>
        <w:rPr>
          <w:rFonts w:cs="Calibri"/>
          <w:sz w:val="23"/>
          <w:szCs w:val="23"/>
        </w:rPr>
      </w:pPr>
      <w:r w:rsidRPr="008F4BAC">
        <w:rPr>
          <w:rFonts w:asciiTheme="minorHAnsi" w:hAnsiTheme="minorHAnsi" w:cstheme="minorHAnsi"/>
          <w:sz w:val="23"/>
          <w:szCs w:val="23"/>
        </w:rPr>
        <w:t xml:space="preserve">A nivel nacional, </w:t>
      </w:r>
      <w:r w:rsidR="003B54FA" w:rsidRPr="008F4BAC">
        <w:rPr>
          <w:rFonts w:asciiTheme="minorHAnsi" w:hAnsiTheme="minorHAnsi" w:cstheme="minorHAnsi"/>
          <w:sz w:val="23"/>
          <w:szCs w:val="23"/>
        </w:rPr>
        <w:t xml:space="preserve">la </w:t>
      </w:r>
      <w:r w:rsidR="00267310" w:rsidRPr="008F4BAC">
        <w:rPr>
          <w:rFonts w:asciiTheme="minorHAnsi" w:hAnsiTheme="minorHAnsi" w:cstheme="minorHAnsi"/>
          <w:sz w:val="23"/>
          <w:szCs w:val="23"/>
        </w:rPr>
        <w:t>E</w:t>
      </w:r>
      <w:r w:rsidR="00C502EF" w:rsidRPr="008F4BAC">
        <w:rPr>
          <w:rFonts w:asciiTheme="minorHAnsi" w:hAnsiTheme="minorHAnsi" w:cstheme="minorHAnsi"/>
          <w:sz w:val="23"/>
          <w:szCs w:val="23"/>
        </w:rPr>
        <w:t xml:space="preserve">RC </w:t>
      </w:r>
      <w:r w:rsidR="00D43E47" w:rsidRPr="008F4BAC">
        <w:rPr>
          <w:rFonts w:asciiTheme="minorHAnsi" w:hAnsiTheme="minorHAnsi" w:cstheme="minorHAnsi"/>
          <w:sz w:val="23"/>
          <w:szCs w:val="23"/>
        </w:rPr>
        <w:t xml:space="preserve">los datos </w:t>
      </w:r>
      <w:r w:rsidR="00D43E47" w:rsidRPr="008F4BAC">
        <w:rPr>
          <w:rFonts w:cs="Calibri"/>
          <w:sz w:val="23"/>
          <w:szCs w:val="23"/>
        </w:rPr>
        <w:t xml:space="preserve">muestran un cambio de tendencia creciente respecto al año 2020, en el que la incidencia y prevalencia de la ERC sufrieron un ligero descenso y estabilización debido al impacto que la pandemia de COVID-19 tuvo en los tratamientos renales. “Se vuelve a la tendencia de crecimiento de la enfermedad renal en España, lo que pone de manifiesto la preocupación de los nefrólogos por el aumento que viene experimentando esta enfermedad de forma continua en los últimos años”, ha destacado la presidenta de la S.E.N., Patricia de Sequera. </w:t>
      </w:r>
    </w:p>
    <w:p w14:paraId="3D56B71A" w14:textId="77777777" w:rsidR="00D43E47" w:rsidRPr="008F4BAC" w:rsidRDefault="00D43E47" w:rsidP="00D43E47">
      <w:pPr>
        <w:spacing w:after="0" w:line="240" w:lineRule="auto"/>
        <w:jc w:val="both"/>
        <w:rPr>
          <w:rFonts w:cs="Calibri"/>
          <w:sz w:val="23"/>
          <w:szCs w:val="23"/>
        </w:rPr>
      </w:pPr>
    </w:p>
    <w:p w14:paraId="61E0A396" w14:textId="77777777" w:rsidR="00F55CF7" w:rsidRPr="008F4BAC" w:rsidRDefault="00D43E47" w:rsidP="003B54FA">
      <w:pPr>
        <w:spacing w:after="0" w:line="100" w:lineRule="atLeast"/>
        <w:jc w:val="both"/>
        <w:rPr>
          <w:rFonts w:cs="Calibri"/>
          <w:sz w:val="23"/>
          <w:szCs w:val="23"/>
        </w:rPr>
      </w:pPr>
      <w:r w:rsidRPr="008F4BAC">
        <w:rPr>
          <w:rFonts w:cs="Calibri"/>
          <w:sz w:val="23"/>
          <w:szCs w:val="23"/>
        </w:rPr>
        <w:t>Según las últimas cifras del Registro Español de Enfermos Renales (REER), fruto de la colaboración de la S.E.N., la ONT, y los registros autonómicos de enfermos renales, que se han dado a conocer en el Congreso de la S.E.N., la incidencia o número de nuevos casos de pacientes que empezaron a recibir TRS en 2021 experimentó un crecimiento de</w:t>
      </w:r>
      <w:r w:rsidRPr="008F4BAC">
        <w:rPr>
          <w:sz w:val="23"/>
          <w:szCs w:val="23"/>
        </w:rPr>
        <w:t xml:space="preserve">l 6,8%. </w:t>
      </w:r>
      <w:r w:rsidRPr="008F4BAC">
        <w:rPr>
          <w:rFonts w:cs="Calibri"/>
          <w:sz w:val="23"/>
          <w:szCs w:val="23"/>
        </w:rPr>
        <w:t xml:space="preserve">Esta tasa de pacientes se situó en 149 por millón de población (pmp), en comparación con los 140 casos pmp registrados en 2020. </w:t>
      </w:r>
    </w:p>
    <w:p w14:paraId="083A1E39" w14:textId="77777777" w:rsidR="00F55CF7" w:rsidRPr="008F4BAC" w:rsidRDefault="00F55CF7" w:rsidP="003B54FA">
      <w:pPr>
        <w:spacing w:after="0" w:line="100" w:lineRule="atLeast"/>
        <w:jc w:val="both"/>
        <w:rPr>
          <w:rFonts w:cs="Calibri"/>
          <w:sz w:val="23"/>
          <w:szCs w:val="23"/>
        </w:rPr>
      </w:pPr>
    </w:p>
    <w:p w14:paraId="4DC77686" w14:textId="66FCD45A" w:rsidR="003B54FA" w:rsidRPr="003B54FA" w:rsidRDefault="00D43E47" w:rsidP="003B54FA">
      <w:pPr>
        <w:spacing w:after="0" w:line="100" w:lineRule="atLeast"/>
        <w:jc w:val="both"/>
        <w:rPr>
          <w:rFonts w:asciiTheme="minorHAnsi" w:hAnsiTheme="minorHAnsi" w:cstheme="minorHAnsi"/>
          <w:sz w:val="24"/>
          <w:szCs w:val="24"/>
        </w:rPr>
      </w:pPr>
      <w:r w:rsidRPr="008F4BAC">
        <w:rPr>
          <w:rFonts w:cs="Calibri"/>
          <w:sz w:val="23"/>
          <w:szCs w:val="23"/>
        </w:rPr>
        <w:t xml:space="preserve">En total, 7.084 personas iniciaron TRS con diálisis o trasplante a lo largo de 2021, frente a las 6.643 personas que lo hicieron durante el año anterior. La mayoría de los pacientes que iniciaron TRS en 2021 fueron hombres (67%) y un 60% tenía una edad igual o superior a 65 años. La causa más frecuente de ERC fue la diabetes (25%), </w:t>
      </w:r>
      <w:r w:rsidR="00F55CF7" w:rsidRPr="008F4BAC">
        <w:rPr>
          <w:rFonts w:cs="Calibri"/>
          <w:sz w:val="23"/>
          <w:szCs w:val="23"/>
        </w:rPr>
        <w:t>y e</w:t>
      </w:r>
      <w:r w:rsidRPr="008F4BAC">
        <w:rPr>
          <w:rFonts w:cs="Calibri"/>
          <w:sz w:val="23"/>
          <w:szCs w:val="23"/>
        </w:rPr>
        <w:t xml:space="preserve">n cuanto a los tipos de tratamiento que reciben los nuevos pacientes con ERC, </w:t>
      </w:r>
      <w:r w:rsidRPr="008F4BAC">
        <w:rPr>
          <w:sz w:val="23"/>
          <w:szCs w:val="23"/>
        </w:rPr>
        <w:t xml:space="preserve">la diálisis peritoneal se consolida como opción terapéutica inicial, aumentando su tasa y proporción (25 pmp y 16% del total de pacientes que iniciaron TRS), lo que hay que poner en valor al ser un tratamiento domiciliario que permite </w:t>
      </w:r>
      <w:r w:rsidRPr="008F4BAC">
        <w:rPr>
          <w:rFonts w:cs="Calibri"/>
          <w:bCs/>
          <w:sz w:val="23"/>
          <w:szCs w:val="23"/>
        </w:rPr>
        <w:t xml:space="preserve">al paciente una mayor autonomía en su vida diaria y una mayor calidad de vida. Asimismo, </w:t>
      </w:r>
      <w:r w:rsidRPr="008F4BAC">
        <w:rPr>
          <w:sz w:val="23"/>
          <w:szCs w:val="23"/>
        </w:rPr>
        <w:t>el trasplante renal anticipado también aumenta</w:t>
      </w:r>
      <w:r w:rsidRPr="00D80E61">
        <w:rPr>
          <w:sz w:val="23"/>
          <w:szCs w:val="23"/>
        </w:rPr>
        <w:t xml:space="preserve"> ligeramente, alcanzando una tasa </w:t>
      </w:r>
      <w:r>
        <w:rPr>
          <w:sz w:val="23"/>
          <w:szCs w:val="23"/>
        </w:rPr>
        <w:t>de 6</w:t>
      </w:r>
      <w:r w:rsidRPr="00D80E61">
        <w:rPr>
          <w:sz w:val="23"/>
          <w:szCs w:val="23"/>
        </w:rPr>
        <w:t xml:space="preserve"> pmp y </w:t>
      </w:r>
      <w:r>
        <w:rPr>
          <w:sz w:val="23"/>
          <w:szCs w:val="23"/>
        </w:rPr>
        <w:t>representando ya el 4</w:t>
      </w:r>
      <w:r w:rsidRPr="00D80E61">
        <w:rPr>
          <w:sz w:val="23"/>
          <w:szCs w:val="23"/>
        </w:rPr>
        <w:t xml:space="preserve">% del total. </w:t>
      </w:r>
      <w:r w:rsidR="003B54FA" w:rsidRPr="003B54FA">
        <w:rPr>
          <w:rFonts w:cs="Calibri"/>
          <w:sz w:val="24"/>
          <w:szCs w:val="24"/>
        </w:rPr>
        <w:t xml:space="preserve">  </w:t>
      </w:r>
    </w:p>
    <w:p w14:paraId="44F6CE45" w14:textId="77777777" w:rsidR="00F55CF7" w:rsidRDefault="00F55CF7" w:rsidP="003B54FA">
      <w:pPr>
        <w:pStyle w:val="NormalWeb"/>
        <w:jc w:val="both"/>
        <w:rPr>
          <w:sz w:val="24"/>
          <w:szCs w:val="24"/>
        </w:rPr>
      </w:pPr>
    </w:p>
    <w:p w14:paraId="6FF8F6B4" w14:textId="02853BE2" w:rsidR="00F55CF7" w:rsidRPr="00D80E61" w:rsidRDefault="00F55CF7" w:rsidP="00F55CF7">
      <w:pPr>
        <w:spacing w:after="0" w:line="240" w:lineRule="auto"/>
        <w:jc w:val="both"/>
        <w:rPr>
          <w:sz w:val="23"/>
          <w:szCs w:val="23"/>
        </w:rPr>
      </w:pPr>
      <w:r>
        <w:rPr>
          <w:sz w:val="24"/>
          <w:szCs w:val="24"/>
        </w:rPr>
        <w:t xml:space="preserve">Por su parte, la </w:t>
      </w:r>
      <w:r>
        <w:rPr>
          <w:sz w:val="23"/>
          <w:szCs w:val="23"/>
        </w:rPr>
        <w:t xml:space="preserve">prevalencia </w:t>
      </w:r>
      <w:r w:rsidRPr="00D80E61">
        <w:rPr>
          <w:sz w:val="23"/>
          <w:szCs w:val="23"/>
        </w:rPr>
        <w:t xml:space="preserve">también creció un 2%, situándose </w:t>
      </w:r>
      <w:r>
        <w:rPr>
          <w:sz w:val="23"/>
          <w:szCs w:val="23"/>
        </w:rPr>
        <w:t>en una tasa de 1.387</w:t>
      </w:r>
      <w:r w:rsidRPr="00D80E61">
        <w:rPr>
          <w:sz w:val="23"/>
          <w:szCs w:val="23"/>
        </w:rPr>
        <w:t xml:space="preserve"> pmp, frente a l</w:t>
      </w:r>
      <w:r>
        <w:rPr>
          <w:sz w:val="23"/>
          <w:szCs w:val="23"/>
        </w:rPr>
        <w:t xml:space="preserve">a tasa de </w:t>
      </w:r>
      <w:r w:rsidRPr="00D80E61">
        <w:rPr>
          <w:sz w:val="23"/>
          <w:szCs w:val="23"/>
        </w:rPr>
        <w:t>1</w:t>
      </w:r>
      <w:r>
        <w:rPr>
          <w:sz w:val="23"/>
          <w:szCs w:val="23"/>
        </w:rPr>
        <w:t>.</w:t>
      </w:r>
      <w:r w:rsidRPr="00D80E61">
        <w:rPr>
          <w:sz w:val="23"/>
          <w:szCs w:val="23"/>
        </w:rPr>
        <w:t xml:space="preserve">362 pmp registrada en el año 2020. </w:t>
      </w:r>
      <w:r w:rsidRPr="00D80E61">
        <w:rPr>
          <w:rFonts w:cs="Calibri"/>
          <w:sz w:val="23"/>
          <w:szCs w:val="23"/>
        </w:rPr>
        <w:t>Esto significa que</w:t>
      </w:r>
      <w:r>
        <w:rPr>
          <w:rFonts w:cs="Calibri"/>
          <w:sz w:val="23"/>
          <w:szCs w:val="23"/>
        </w:rPr>
        <w:t xml:space="preserve"> </w:t>
      </w:r>
      <w:r w:rsidRPr="00D80E61">
        <w:rPr>
          <w:sz w:val="23"/>
          <w:szCs w:val="23"/>
        </w:rPr>
        <w:t>65.740 personas</w:t>
      </w:r>
      <w:r w:rsidRPr="00D80E61">
        <w:rPr>
          <w:rFonts w:cs="Calibri"/>
          <w:sz w:val="23"/>
          <w:szCs w:val="23"/>
        </w:rPr>
        <w:t xml:space="preserve"> con ERC avanzada reciben </w:t>
      </w:r>
      <w:r>
        <w:rPr>
          <w:rFonts w:cs="Calibri"/>
          <w:sz w:val="23"/>
          <w:szCs w:val="23"/>
        </w:rPr>
        <w:t xml:space="preserve">tratamiento con </w:t>
      </w:r>
      <w:r w:rsidRPr="00D80E61">
        <w:rPr>
          <w:rFonts w:cs="Calibri"/>
          <w:sz w:val="23"/>
          <w:szCs w:val="23"/>
        </w:rPr>
        <w:t>diálisis o trasplante</w:t>
      </w:r>
      <w:r>
        <w:rPr>
          <w:rFonts w:cs="Calibri"/>
          <w:sz w:val="23"/>
          <w:szCs w:val="23"/>
        </w:rPr>
        <w:t xml:space="preserve"> en España</w:t>
      </w:r>
      <w:r w:rsidRPr="00D80E61">
        <w:rPr>
          <w:rFonts w:cs="Calibri"/>
          <w:sz w:val="23"/>
          <w:szCs w:val="23"/>
        </w:rPr>
        <w:t>.</w:t>
      </w:r>
      <w:r w:rsidRPr="00D80E61">
        <w:rPr>
          <w:sz w:val="23"/>
          <w:szCs w:val="23"/>
        </w:rPr>
        <w:t xml:space="preserve"> Al igual que en los nuevos casos de pacientes con ERC, la diabetes es la principal causa de la enfermedad en los pacientes prevalentes, representando un 1</w:t>
      </w:r>
      <w:r>
        <w:rPr>
          <w:sz w:val="23"/>
          <w:szCs w:val="23"/>
        </w:rPr>
        <w:t>6</w:t>
      </w:r>
      <w:r w:rsidRPr="00D80E61">
        <w:rPr>
          <w:sz w:val="23"/>
          <w:szCs w:val="23"/>
        </w:rPr>
        <w:t xml:space="preserve">% del total. </w:t>
      </w:r>
    </w:p>
    <w:p w14:paraId="56E41D77" w14:textId="21B201AB" w:rsidR="00F55CF7" w:rsidRPr="00F55CF7" w:rsidRDefault="00F55CF7" w:rsidP="003B54FA">
      <w:pPr>
        <w:pStyle w:val="NormalWeb"/>
        <w:jc w:val="both"/>
        <w:rPr>
          <w:sz w:val="24"/>
          <w:szCs w:val="24"/>
          <w:u w:val="words"/>
        </w:rPr>
      </w:pPr>
    </w:p>
    <w:p w14:paraId="14724258" w14:textId="77777777" w:rsidR="00F55CF7" w:rsidRPr="00F55CF7" w:rsidRDefault="00F55CF7" w:rsidP="00F55CF7">
      <w:pPr>
        <w:spacing w:after="0" w:line="240" w:lineRule="auto"/>
        <w:jc w:val="both"/>
        <w:rPr>
          <w:sz w:val="23"/>
          <w:szCs w:val="23"/>
        </w:rPr>
      </w:pPr>
      <w:r>
        <w:rPr>
          <w:rFonts w:cs="Calibri"/>
          <w:sz w:val="23"/>
          <w:szCs w:val="23"/>
        </w:rPr>
        <w:lastRenderedPageBreak/>
        <w:t xml:space="preserve">Los datos del informe anual del REER fueron presentados por la Dra. Beatriz Mahíllo, médica adjunta de la ONT, quien destacó </w:t>
      </w:r>
      <w:r w:rsidRPr="00D80E61">
        <w:rPr>
          <w:sz w:val="23"/>
          <w:szCs w:val="23"/>
        </w:rPr>
        <w:t>el aumento de la actividad de trasplante</w:t>
      </w:r>
      <w:r>
        <w:rPr>
          <w:sz w:val="23"/>
          <w:szCs w:val="23"/>
        </w:rPr>
        <w:t xml:space="preserve"> registrado en 2021</w:t>
      </w:r>
      <w:r w:rsidRPr="00D80E61">
        <w:rPr>
          <w:sz w:val="23"/>
          <w:szCs w:val="23"/>
        </w:rPr>
        <w:t xml:space="preserve">, con un 9% más </w:t>
      </w:r>
      <w:r>
        <w:rPr>
          <w:sz w:val="23"/>
          <w:szCs w:val="23"/>
        </w:rPr>
        <w:t xml:space="preserve">de procedimientos con </w:t>
      </w:r>
      <w:r w:rsidRPr="00D80E61">
        <w:rPr>
          <w:sz w:val="23"/>
          <w:szCs w:val="23"/>
        </w:rPr>
        <w:t xml:space="preserve">respecto a 2020 y </w:t>
      </w:r>
      <w:r>
        <w:rPr>
          <w:sz w:val="23"/>
          <w:szCs w:val="23"/>
        </w:rPr>
        <w:t xml:space="preserve">aproximándose a la actividad registrada antes de </w:t>
      </w:r>
      <w:r w:rsidRPr="00D80E61">
        <w:rPr>
          <w:sz w:val="23"/>
          <w:szCs w:val="23"/>
        </w:rPr>
        <w:t xml:space="preserve">la pandemia. En total se realizaron 2.950 trasplantes renales en España, con una tasa de </w:t>
      </w:r>
      <w:r>
        <w:rPr>
          <w:rFonts w:cs="Calibri"/>
          <w:sz w:val="23"/>
          <w:szCs w:val="23"/>
        </w:rPr>
        <w:t>62</w:t>
      </w:r>
      <w:r w:rsidRPr="00D80E61">
        <w:rPr>
          <w:rFonts w:cs="Calibri"/>
          <w:sz w:val="23"/>
          <w:szCs w:val="23"/>
        </w:rPr>
        <w:t xml:space="preserve"> pmp</w:t>
      </w:r>
      <w:r w:rsidRPr="00D80E61">
        <w:rPr>
          <w:sz w:val="23"/>
          <w:szCs w:val="23"/>
        </w:rPr>
        <w:t xml:space="preserve">. En este apartado es destacable el incremento del trasplante de riñón de donante vivo, que ha pasado de 259 procedimientos en 2020 a 323 en 2021, </w:t>
      </w:r>
      <w:r>
        <w:rPr>
          <w:sz w:val="23"/>
          <w:szCs w:val="23"/>
        </w:rPr>
        <w:t>representando</w:t>
      </w:r>
      <w:r w:rsidRPr="00D80E61">
        <w:rPr>
          <w:sz w:val="23"/>
          <w:szCs w:val="23"/>
        </w:rPr>
        <w:t xml:space="preserve"> ya el 10,9% de los tras</w:t>
      </w:r>
      <w:r>
        <w:rPr>
          <w:sz w:val="23"/>
          <w:szCs w:val="23"/>
        </w:rPr>
        <w:t>plantes renales en nuestro país</w:t>
      </w:r>
      <w:r w:rsidRPr="00D80E61">
        <w:rPr>
          <w:sz w:val="23"/>
          <w:szCs w:val="23"/>
        </w:rPr>
        <w:t>. Asimismo, continúan consolidándose los trasplantes a partir de donante</w:t>
      </w:r>
      <w:r>
        <w:rPr>
          <w:sz w:val="23"/>
          <w:szCs w:val="23"/>
        </w:rPr>
        <w:t>s</w:t>
      </w:r>
      <w:r w:rsidRPr="00D80E61">
        <w:rPr>
          <w:sz w:val="23"/>
          <w:szCs w:val="23"/>
        </w:rPr>
        <w:t xml:space="preserve"> fallecido</w:t>
      </w:r>
      <w:r>
        <w:rPr>
          <w:sz w:val="23"/>
          <w:szCs w:val="23"/>
        </w:rPr>
        <w:t>s</w:t>
      </w:r>
      <w:r w:rsidRPr="00D80E61">
        <w:rPr>
          <w:sz w:val="23"/>
          <w:szCs w:val="23"/>
        </w:rPr>
        <w:t xml:space="preserve"> en parada circulatoria</w:t>
      </w:r>
      <w:r>
        <w:rPr>
          <w:sz w:val="23"/>
          <w:szCs w:val="23"/>
        </w:rPr>
        <w:t xml:space="preserve"> (donantes en asistolia)</w:t>
      </w:r>
      <w:r w:rsidRPr="00D80E61">
        <w:rPr>
          <w:sz w:val="23"/>
          <w:szCs w:val="23"/>
        </w:rPr>
        <w:t xml:space="preserve">, que en los últimos 3 años se han situado por encima del 30% del total de injertos renales realizados. </w:t>
      </w:r>
      <w:r w:rsidRPr="00D80E61">
        <w:rPr>
          <w:rFonts w:cs="Calibri"/>
          <w:sz w:val="23"/>
          <w:szCs w:val="23"/>
        </w:rPr>
        <w:t xml:space="preserve">Gracias a toda esta importante actividad trasplantadora de nuestro país, que </w:t>
      </w:r>
      <w:r>
        <w:rPr>
          <w:rFonts w:cs="Calibri"/>
          <w:sz w:val="23"/>
          <w:szCs w:val="23"/>
        </w:rPr>
        <w:t xml:space="preserve">mantienen una posición de liderazgo internacional </w:t>
      </w:r>
      <w:r w:rsidRPr="00D80E61">
        <w:rPr>
          <w:rFonts w:cs="Calibri"/>
          <w:sz w:val="23"/>
          <w:szCs w:val="23"/>
        </w:rPr>
        <w:t xml:space="preserve">en trasplante renal, el 54% de los pacientes en TRS </w:t>
      </w:r>
      <w:r>
        <w:rPr>
          <w:rFonts w:cs="Calibri"/>
          <w:sz w:val="23"/>
          <w:szCs w:val="23"/>
        </w:rPr>
        <w:t xml:space="preserve">en España </w:t>
      </w:r>
      <w:r w:rsidRPr="00D80E61">
        <w:rPr>
          <w:rFonts w:cs="Calibri"/>
          <w:sz w:val="23"/>
          <w:szCs w:val="23"/>
        </w:rPr>
        <w:t xml:space="preserve">viven con un trasplante de riñón. </w:t>
      </w:r>
    </w:p>
    <w:p w14:paraId="7E67DFB0" w14:textId="77777777" w:rsidR="00F55CF7" w:rsidRPr="00D80E61" w:rsidRDefault="00F55CF7" w:rsidP="00F55CF7">
      <w:pPr>
        <w:spacing w:after="0" w:line="240" w:lineRule="auto"/>
        <w:jc w:val="both"/>
        <w:rPr>
          <w:sz w:val="23"/>
          <w:szCs w:val="23"/>
        </w:rPr>
      </w:pPr>
    </w:p>
    <w:p w14:paraId="71FD6C34" w14:textId="77777777" w:rsidR="00F55CF7" w:rsidRPr="00D80E61" w:rsidRDefault="00F55CF7" w:rsidP="00F55CF7">
      <w:pPr>
        <w:spacing w:after="0" w:line="240" w:lineRule="auto"/>
        <w:jc w:val="both"/>
        <w:rPr>
          <w:sz w:val="23"/>
          <w:szCs w:val="23"/>
        </w:rPr>
      </w:pPr>
      <w:r w:rsidRPr="00D80E61">
        <w:rPr>
          <w:sz w:val="23"/>
          <w:szCs w:val="23"/>
        </w:rPr>
        <w:t xml:space="preserve">Otro aspecto positivo es el descenso de la mortalidad de los pacientes renales en TRS, con un 4% menos experimentado en 2021. </w:t>
      </w:r>
      <w:r w:rsidRPr="00D80E61">
        <w:rPr>
          <w:rFonts w:cs="Calibri"/>
          <w:sz w:val="23"/>
          <w:szCs w:val="23"/>
        </w:rPr>
        <w:t xml:space="preserve">En total, fallecieron más de 5.625 personas en diálisis o trasplante, con una tasa global de mortalidad del 8% entre todos los pacientes en tratamiento renal. En el año anterior se produjo un aumento de la mortalidad debido a la mayor vulnerabilidad de los pacientes con ERC a la COVID-19, lo cual motivó que se les incluyera en los grupos de especial riesgo para su vacunación. </w:t>
      </w:r>
    </w:p>
    <w:p w14:paraId="222CFE1B" w14:textId="77777777" w:rsidR="00F55CF7" w:rsidRPr="00D80E61" w:rsidRDefault="00F55CF7" w:rsidP="00F55CF7">
      <w:pPr>
        <w:spacing w:after="0" w:line="240" w:lineRule="auto"/>
        <w:jc w:val="both"/>
        <w:rPr>
          <w:rFonts w:cs="Calibri"/>
          <w:sz w:val="23"/>
          <w:szCs w:val="23"/>
        </w:rPr>
      </w:pPr>
      <w:bookmarkStart w:id="1" w:name="_Hlk85371578"/>
    </w:p>
    <w:bookmarkEnd w:id="1"/>
    <w:p w14:paraId="331D04FC" w14:textId="77777777" w:rsidR="00F55CF7" w:rsidRPr="00D80E61" w:rsidRDefault="00F55CF7" w:rsidP="00F55CF7">
      <w:pPr>
        <w:spacing w:after="0" w:line="240" w:lineRule="auto"/>
        <w:jc w:val="both"/>
        <w:rPr>
          <w:rFonts w:cs="Calibri"/>
          <w:sz w:val="23"/>
          <w:szCs w:val="23"/>
        </w:rPr>
      </w:pPr>
      <w:r w:rsidRPr="00D80E61">
        <w:rPr>
          <w:rFonts w:cs="Calibri"/>
          <w:sz w:val="23"/>
          <w:szCs w:val="23"/>
        </w:rPr>
        <w:t>Las infecciones (29%) y la</w:t>
      </w:r>
      <w:r>
        <w:rPr>
          <w:rFonts w:cs="Calibri"/>
          <w:sz w:val="23"/>
          <w:szCs w:val="23"/>
        </w:rPr>
        <w:t xml:space="preserve"> patología </w:t>
      </w:r>
      <w:r w:rsidRPr="00D80E61">
        <w:rPr>
          <w:rFonts w:cs="Calibri"/>
          <w:sz w:val="23"/>
          <w:szCs w:val="23"/>
        </w:rPr>
        <w:t>cardiovascular (</w:t>
      </w:r>
      <w:r>
        <w:rPr>
          <w:rFonts w:cs="Calibri"/>
          <w:sz w:val="23"/>
          <w:szCs w:val="23"/>
        </w:rPr>
        <w:t>24</w:t>
      </w:r>
      <w:r w:rsidRPr="00D80E61">
        <w:rPr>
          <w:rFonts w:cs="Calibri"/>
          <w:sz w:val="23"/>
          <w:szCs w:val="23"/>
        </w:rPr>
        <w:t xml:space="preserve">%) fueron las causas principales de fallecimiento en todas las modalidades de TRS en 2021, con cifras similares a las de años anteriores en el primer caso y un descenso en el segundo. </w:t>
      </w:r>
      <w:bookmarkStart w:id="2" w:name="_Hlk85371622"/>
    </w:p>
    <w:bookmarkEnd w:id="2"/>
    <w:p w14:paraId="7B5513B5" w14:textId="77777777" w:rsidR="00F55CF7" w:rsidRPr="00D80E61" w:rsidRDefault="00F55CF7" w:rsidP="00F55CF7">
      <w:pPr>
        <w:spacing w:after="0" w:line="240" w:lineRule="auto"/>
        <w:jc w:val="both"/>
        <w:rPr>
          <w:rFonts w:cs="Calibri"/>
          <w:sz w:val="23"/>
          <w:szCs w:val="23"/>
        </w:rPr>
      </w:pPr>
    </w:p>
    <w:p w14:paraId="09E1F0A2" w14:textId="77777777" w:rsidR="00F55CF7" w:rsidRPr="00D80E61" w:rsidRDefault="00F55CF7" w:rsidP="00F55CF7">
      <w:pPr>
        <w:spacing w:after="0" w:line="240" w:lineRule="auto"/>
        <w:jc w:val="both"/>
        <w:rPr>
          <w:sz w:val="23"/>
          <w:szCs w:val="23"/>
        </w:rPr>
      </w:pPr>
      <w:r w:rsidRPr="00D80E61">
        <w:rPr>
          <w:b/>
          <w:sz w:val="23"/>
          <w:szCs w:val="23"/>
        </w:rPr>
        <w:t>El mayor encuentro de Nefrología en España</w:t>
      </w:r>
    </w:p>
    <w:p w14:paraId="6C66D3D9" w14:textId="42829152" w:rsidR="00F55CF7" w:rsidRPr="008F4BAC" w:rsidRDefault="00F55CF7" w:rsidP="00FA2B23">
      <w:pPr>
        <w:spacing w:after="0" w:line="100" w:lineRule="atLeast"/>
        <w:jc w:val="both"/>
        <w:rPr>
          <w:sz w:val="23"/>
          <w:szCs w:val="23"/>
        </w:rPr>
      </w:pPr>
      <w:r w:rsidRPr="008F4BAC">
        <w:rPr>
          <w:rFonts w:cs="Calibri"/>
          <w:sz w:val="23"/>
          <w:szCs w:val="23"/>
        </w:rPr>
        <w:t>Estas cifras han sido presentadas en el 52º Congreso Nacional de la S.E.N.</w:t>
      </w:r>
      <w:r w:rsidRPr="008F4BAC">
        <w:rPr>
          <w:sz w:val="23"/>
          <w:szCs w:val="23"/>
        </w:rPr>
        <w:t xml:space="preserve">, </w:t>
      </w:r>
      <w:r w:rsidR="007703AC">
        <w:rPr>
          <w:sz w:val="23"/>
          <w:szCs w:val="23"/>
        </w:rPr>
        <w:t>c</w:t>
      </w:r>
      <w:r w:rsidRPr="008F4BAC">
        <w:rPr>
          <w:sz w:val="23"/>
          <w:szCs w:val="23"/>
        </w:rPr>
        <w:t xml:space="preserve">elebrado </w:t>
      </w:r>
      <w:r w:rsidR="008F4BAC" w:rsidRPr="008F4BAC">
        <w:rPr>
          <w:sz w:val="23"/>
          <w:szCs w:val="23"/>
        </w:rPr>
        <w:t xml:space="preserve">el pasado </w:t>
      </w:r>
      <w:r w:rsidRPr="008F4BAC">
        <w:rPr>
          <w:sz w:val="23"/>
          <w:szCs w:val="23"/>
        </w:rPr>
        <w:t>fin de semana en Granada</w:t>
      </w:r>
      <w:r w:rsidR="00FA2B23" w:rsidRPr="008F4BAC">
        <w:rPr>
          <w:sz w:val="23"/>
          <w:szCs w:val="23"/>
        </w:rPr>
        <w:t xml:space="preserve">, y en el que han participado </w:t>
      </w:r>
      <w:r w:rsidRPr="008F4BAC">
        <w:rPr>
          <w:sz w:val="23"/>
          <w:szCs w:val="23"/>
        </w:rPr>
        <w:t xml:space="preserve">más de </w:t>
      </w:r>
      <w:r w:rsidRPr="008F4BAC">
        <w:rPr>
          <w:bCs/>
          <w:sz w:val="23"/>
          <w:szCs w:val="23"/>
        </w:rPr>
        <w:t xml:space="preserve">1.200 nefrólogos, investigadores y expertos con el fin de </w:t>
      </w:r>
      <w:r w:rsidRPr="008F4BAC">
        <w:rPr>
          <w:sz w:val="23"/>
          <w:szCs w:val="23"/>
        </w:rPr>
        <w:t>abordar los últimos avances</w:t>
      </w:r>
      <w:r w:rsidR="008F4BAC" w:rsidRPr="008F4BAC">
        <w:rPr>
          <w:sz w:val="23"/>
          <w:szCs w:val="23"/>
        </w:rPr>
        <w:t xml:space="preserve"> </w:t>
      </w:r>
      <w:r w:rsidRPr="008F4BAC">
        <w:rPr>
          <w:sz w:val="23"/>
          <w:szCs w:val="23"/>
        </w:rPr>
        <w:t>y estrategias para mejorar la prevención, el diagnóstico y el tratamiento de la ERC</w:t>
      </w:r>
      <w:r w:rsidR="007703AC">
        <w:rPr>
          <w:sz w:val="23"/>
          <w:szCs w:val="23"/>
        </w:rPr>
        <w:t xml:space="preserve">, </w:t>
      </w:r>
      <w:r w:rsidRPr="008F4BAC">
        <w:rPr>
          <w:sz w:val="23"/>
          <w:szCs w:val="23"/>
        </w:rPr>
        <w:t xml:space="preserve">y la calidad de vida de los pacientes. </w:t>
      </w:r>
      <w:r w:rsidRPr="008F4BAC">
        <w:rPr>
          <w:rFonts w:cs="Calibri"/>
          <w:sz w:val="23"/>
          <w:szCs w:val="23"/>
        </w:rPr>
        <w:t xml:space="preserve">Además, </w:t>
      </w:r>
      <w:r w:rsidR="00FA2B23" w:rsidRPr="008F4BAC">
        <w:rPr>
          <w:rFonts w:cs="Calibri"/>
          <w:sz w:val="23"/>
          <w:szCs w:val="23"/>
        </w:rPr>
        <w:t xml:space="preserve">ha </w:t>
      </w:r>
      <w:r w:rsidRPr="008F4BAC">
        <w:rPr>
          <w:rFonts w:cs="Calibri"/>
          <w:sz w:val="23"/>
          <w:szCs w:val="23"/>
        </w:rPr>
        <w:t>servi</w:t>
      </w:r>
      <w:r w:rsidR="008F4BAC" w:rsidRPr="008F4BAC">
        <w:rPr>
          <w:rFonts w:cs="Calibri"/>
          <w:sz w:val="23"/>
          <w:szCs w:val="23"/>
        </w:rPr>
        <w:t>do</w:t>
      </w:r>
      <w:r w:rsidRPr="008F4BAC">
        <w:rPr>
          <w:rFonts w:cs="Calibri"/>
          <w:sz w:val="23"/>
          <w:szCs w:val="23"/>
        </w:rPr>
        <w:t xml:space="preserve"> de altavoz para dar a conocer y sensibilizar a la sociedad sobre la importancia y repercusión que tiene la ERC, una patología que, a pesar de afectar a casi </w:t>
      </w:r>
      <w:r w:rsidR="008F4BAC" w:rsidRPr="008F4BAC">
        <w:rPr>
          <w:rFonts w:cs="Calibri"/>
          <w:sz w:val="23"/>
          <w:szCs w:val="23"/>
        </w:rPr>
        <w:t xml:space="preserve">7 </w:t>
      </w:r>
      <w:r w:rsidRPr="008F4BAC">
        <w:rPr>
          <w:rFonts w:cs="Calibri"/>
          <w:sz w:val="23"/>
          <w:szCs w:val="23"/>
        </w:rPr>
        <w:t>millones de españoles y tener un fuerte impacto en la calidad de vida, sigue siendo una gran desconocida</w:t>
      </w:r>
      <w:r w:rsidR="00FA2B23" w:rsidRPr="008F4BAC">
        <w:rPr>
          <w:rFonts w:cs="Calibri"/>
          <w:sz w:val="23"/>
          <w:szCs w:val="23"/>
        </w:rPr>
        <w:t>.</w:t>
      </w:r>
    </w:p>
    <w:p w14:paraId="3FDA2BF6" w14:textId="77777777" w:rsidR="00F55CF7" w:rsidRPr="008F4BAC" w:rsidRDefault="00F55CF7" w:rsidP="00F55CF7">
      <w:pPr>
        <w:spacing w:after="0" w:line="100" w:lineRule="atLeast"/>
        <w:jc w:val="both"/>
        <w:rPr>
          <w:rFonts w:cs="Calibri"/>
          <w:sz w:val="23"/>
          <w:szCs w:val="23"/>
        </w:rPr>
      </w:pPr>
    </w:p>
    <w:p w14:paraId="3CCA2F18" w14:textId="7F213B73" w:rsidR="003B54FA" w:rsidRPr="003B54FA" w:rsidRDefault="00F55CF7" w:rsidP="00F55CF7">
      <w:pPr>
        <w:spacing w:after="0" w:line="240" w:lineRule="auto"/>
        <w:jc w:val="both"/>
        <w:rPr>
          <w:rFonts w:cs="Calibri"/>
          <w:sz w:val="24"/>
          <w:szCs w:val="24"/>
        </w:rPr>
      </w:pPr>
      <w:r w:rsidRPr="008F4BAC">
        <w:rPr>
          <w:sz w:val="23"/>
          <w:szCs w:val="23"/>
        </w:rPr>
        <w:t xml:space="preserve">La reunión ha dedicado gran parte de su programa a tratar aspectos de actualización y prevención de la ERC, y a abordar </w:t>
      </w:r>
      <w:r w:rsidRPr="008F4BAC">
        <w:rPr>
          <w:rStyle w:val="Ninguno"/>
          <w:bCs/>
          <w:sz w:val="23"/>
          <w:szCs w:val="23"/>
        </w:rPr>
        <w:t xml:space="preserve">novedades terapéuticas en patología diabética, síndrome cardiorrenal, enfermedades glomerulares, trasplante renal, las técnicas de depuración extrarrenal, o la COVID-19 en los pacientes renales, entre otros. Además, </w:t>
      </w:r>
      <w:r w:rsidRPr="008F4BAC">
        <w:rPr>
          <w:rStyle w:val="Ninguno"/>
          <w:sz w:val="23"/>
          <w:szCs w:val="23"/>
        </w:rPr>
        <w:t>se han realizado sesiones sobre Big Data y la aplicación de la Inteligencia Artificial</w:t>
      </w:r>
      <w:r w:rsidR="008F4BAC" w:rsidRPr="008F4BAC">
        <w:rPr>
          <w:rStyle w:val="Ninguno"/>
          <w:sz w:val="23"/>
          <w:szCs w:val="23"/>
        </w:rPr>
        <w:t xml:space="preserve">, y numerosos cursos, </w:t>
      </w:r>
      <w:r w:rsidR="008F4BAC" w:rsidRPr="008F4BAC">
        <w:rPr>
          <w:sz w:val="23"/>
          <w:szCs w:val="23"/>
        </w:rPr>
        <w:t>conferencias, simposios, talleres y foros</w:t>
      </w:r>
      <w:r w:rsidR="008F4BAC" w:rsidRPr="008F4BAC">
        <w:rPr>
          <w:rStyle w:val="Ninguno"/>
          <w:sz w:val="23"/>
          <w:szCs w:val="23"/>
        </w:rPr>
        <w:t xml:space="preserve">, </w:t>
      </w:r>
      <w:r w:rsidR="008F4BAC" w:rsidRPr="008F4BAC">
        <w:rPr>
          <w:rStyle w:val="Ninguno"/>
          <w:bCs/>
          <w:sz w:val="23"/>
          <w:szCs w:val="23"/>
        </w:rPr>
        <w:t xml:space="preserve">así como debates sobre </w:t>
      </w:r>
      <w:r w:rsidRPr="008F4BAC">
        <w:rPr>
          <w:sz w:val="23"/>
          <w:szCs w:val="23"/>
        </w:rPr>
        <w:t xml:space="preserve">los problemas de las enfermedades renales desde el punto de vista de los pacientes. El Congreso ha </w:t>
      </w:r>
      <w:r w:rsidR="008F4BAC" w:rsidRPr="008F4BAC">
        <w:rPr>
          <w:sz w:val="23"/>
          <w:szCs w:val="23"/>
        </w:rPr>
        <w:t xml:space="preserve">incluido igualmente </w:t>
      </w:r>
      <w:r w:rsidRPr="008F4BAC">
        <w:rPr>
          <w:sz w:val="23"/>
          <w:szCs w:val="23"/>
        </w:rPr>
        <w:t>la presentación de más de 600 comunicaciones sobre los últimos proyectos y estudios relativos a la enfermedad renal en España</w:t>
      </w:r>
      <w:r w:rsidR="008F4BAC" w:rsidRPr="008F4BAC">
        <w:rPr>
          <w:sz w:val="23"/>
          <w:szCs w:val="23"/>
        </w:rPr>
        <w:t>.</w:t>
      </w:r>
    </w:p>
    <w:p w14:paraId="1F10B85E" w14:textId="242DFF07" w:rsidR="00E31731" w:rsidRDefault="00E31731">
      <w:pPr>
        <w:spacing w:after="0" w:line="100" w:lineRule="atLeast"/>
        <w:jc w:val="both"/>
        <w:rPr>
          <w:b/>
          <w:sz w:val="24"/>
          <w:szCs w:val="24"/>
        </w:rPr>
      </w:pPr>
    </w:p>
    <w:p w14:paraId="18D247D9" w14:textId="77777777" w:rsidR="00F55CF7" w:rsidRPr="00D80E61" w:rsidRDefault="00F55CF7" w:rsidP="00F55CF7">
      <w:pPr>
        <w:spacing w:after="0" w:line="240" w:lineRule="auto"/>
        <w:jc w:val="both"/>
        <w:rPr>
          <w:b/>
          <w:sz w:val="23"/>
          <w:szCs w:val="23"/>
        </w:rPr>
      </w:pPr>
      <w:r w:rsidRPr="00D80E61">
        <w:rPr>
          <w:b/>
          <w:sz w:val="23"/>
          <w:szCs w:val="23"/>
        </w:rPr>
        <w:t>Para más información:</w:t>
      </w:r>
    </w:p>
    <w:p w14:paraId="561B01E2" w14:textId="77777777" w:rsidR="00F55CF7" w:rsidRPr="00D80E61" w:rsidRDefault="00F55CF7" w:rsidP="00F55CF7">
      <w:pPr>
        <w:spacing w:after="0" w:line="240" w:lineRule="auto"/>
        <w:jc w:val="both"/>
        <w:rPr>
          <w:b/>
          <w:sz w:val="23"/>
          <w:szCs w:val="23"/>
        </w:rPr>
      </w:pPr>
      <w:r w:rsidRPr="00D80E61">
        <w:rPr>
          <w:b/>
          <w:sz w:val="23"/>
          <w:szCs w:val="23"/>
        </w:rPr>
        <w:t>Gabinete de prensa de la Sociedad Española de Nefrología (S.E.N.)</w:t>
      </w:r>
    </w:p>
    <w:p w14:paraId="433FCC12" w14:textId="260DDD38" w:rsidR="00331BDC" w:rsidRDefault="00F55CF7" w:rsidP="00331BDC">
      <w:pPr>
        <w:spacing w:after="0" w:line="240" w:lineRule="auto"/>
        <w:jc w:val="both"/>
        <w:rPr>
          <w:rFonts w:eastAsiaTheme="minorHAnsi" w:cs="Calibri"/>
          <w:kern w:val="0"/>
          <w:sz w:val="23"/>
          <w:szCs w:val="23"/>
          <w:lang w:eastAsia="es-ES"/>
        </w:rPr>
      </w:pPr>
      <w:r w:rsidRPr="00D80E61">
        <w:rPr>
          <w:sz w:val="23"/>
          <w:szCs w:val="23"/>
        </w:rPr>
        <w:t xml:space="preserve">Jesús Herrera / Manuela Hernández </w:t>
      </w:r>
      <w:r>
        <w:rPr>
          <w:sz w:val="23"/>
          <w:szCs w:val="23"/>
        </w:rPr>
        <w:t>(954 62 27 27 / 625 87 27 80</w:t>
      </w:r>
      <w:r w:rsidRPr="00D80E61">
        <w:rPr>
          <w:sz w:val="23"/>
          <w:szCs w:val="23"/>
        </w:rPr>
        <w:t>)</w:t>
      </w:r>
      <w:bookmarkStart w:id="3" w:name="_Hlk85371415"/>
      <w:bookmarkEnd w:id="3"/>
    </w:p>
    <w:sectPr w:rsidR="00331BDC" w:rsidSect="008F4BAC">
      <w:headerReference w:type="default" r:id="rId6"/>
      <w:pgSz w:w="11906" w:h="16838"/>
      <w:pgMar w:top="1134" w:right="1588" w:bottom="1134" w:left="1588" w:header="709"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E9020" w14:textId="77777777" w:rsidR="00782C26" w:rsidRDefault="00782C26">
      <w:pPr>
        <w:spacing w:after="0" w:line="240" w:lineRule="auto"/>
      </w:pPr>
      <w:r>
        <w:separator/>
      </w:r>
    </w:p>
  </w:endnote>
  <w:endnote w:type="continuationSeparator" w:id="0">
    <w:p w14:paraId="05C74150" w14:textId="77777777" w:rsidR="00782C26" w:rsidRDefault="0078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995A" w14:textId="77777777" w:rsidR="00782C26" w:rsidRDefault="00782C26">
      <w:pPr>
        <w:spacing w:after="0" w:line="240" w:lineRule="auto"/>
      </w:pPr>
      <w:r>
        <w:separator/>
      </w:r>
    </w:p>
  </w:footnote>
  <w:footnote w:type="continuationSeparator" w:id="0">
    <w:p w14:paraId="44765E64" w14:textId="77777777" w:rsidR="00782C26" w:rsidRDefault="00782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5C99" w14:textId="658854F0" w:rsidR="00C94EC5" w:rsidRDefault="00D64023" w:rsidP="00956A7B">
    <w:pPr>
      <w:pStyle w:val="Encabezado"/>
      <w:jc w:val="center"/>
    </w:pPr>
    <w:r w:rsidRPr="00995A11">
      <w:rPr>
        <w:noProof/>
        <w:lang w:eastAsia="es-ES"/>
      </w:rPr>
      <w:drawing>
        <wp:inline distT="0" distB="0" distL="0" distR="0" wp14:anchorId="3A2F5E8B" wp14:editId="42596246">
          <wp:extent cx="5400040" cy="9258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925830"/>
                  </a:xfrm>
                  <a:prstGeom prst="rect">
                    <a:avLst/>
                  </a:prstGeom>
                </pic:spPr>
              </pic:pic>
            </a:graphicData>
          </a:graphic>
        </wp:inline>
      </w:drawing>
    </w:r>
  </w:p>
  <w:p w14:paraId="78702628" w14:textId="77777777" w:rsidR="00F047BC" w:rsidRDefault="00F047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1"/>
    <w:rsid w:val="00026FC9"/>
    <w:rsid w:val="00027752"/>
    <w:rsid w:val="000354CA"/>
    <w:rsid w:val="00074046"/>
    <w:rsid w:val="00112CBC"/>
    <w:rsid w:val="0012312A"/>
    <w:rsid w:val="0012573E"/>
    <w:rsid w:val="001736A6"/>
    <w:rsid w:val="00173BEC"/>
    <w:rsid w:val="00180E36"/>
    <w:rsid w:val="001903CD"/>
    <w:rsid w:val="001D23AE"/>
    <w:rsid w:val="001F3F50"/>
    <w:rsid w:val="002435DD"/>
    <w:rsid w:val="00267310"/>
    <w:rsid w:val="002B153E"/>
    <w:rsid w:val="002B5DC9"/>
    <w:rsid w:val="002F7F1E"/>
    <w:rsid w:val="00316968"/>
    <w:rsid w:val="00331BDC"/>
    <w:rsid w:val="00356F5D"/>
    <w:rsid w:val="0037761A"/>
    <w:rsid w:val="00392B34"/>
    <w:rsid w:val="003A39CB"/>
    <w:rsid w:val="003B54FA"/>
    <w:rsid w:val="003D69C9"/>
    <w:rsid w:val="003F4640"/>
    <w:rsid w:val="003F594E"/>
    <w:rsid w:val="004174D0"/>
    <w:rsid w:val="00426CC4"/>
    <w:rsid w:val="00436062"/>
    <w:rsid w:val="00450B10"/>
    <w:rsid w:val="004C1476"/>
    <w:rsid w:val="0050560B"/>
    <w:rsid w:val="00511CE1"/>
    <w:rsid w:val="00552B03"/>
    <w:rsid w:val="005705CC"/>
    <w:rsid w:val="0057206A"/>
    <w:rsid w:val="005A2C0C"/>
    <w:rsid w:val="005E04F6"/>
    <w:rsid w:val="0063418C"/>
    <w:rsid w:val="006365BA"/>
    <w:rsid w:val="00642014"/>
    <w:rsid w:val="006440D1"/>
    <w:rsid w:val="006552CB"/>
    <w:rsid w:val="006764C2"/>
    <w:rsid w:val="006A134C"/>
    <w:rsid w:val="006A7BB9"/>
    <w:rsid w:val="006D6CC2"/>
    <w:rsid w:val="006F02CC"/>
    <w:rsid w:val="007530EF"/>
    <w:rsid w:val="007542A5"/>
    <w:rsid w:val="00754FC2"/>
    <w:rsid w:val="00764AB6"/>
    <w:rsid w:val="007703AC"/>
    <w:rsid w:val="00780DCA"/>
    <w:rsid w:val="00782C26"/>
    <w:rsid w:val="0079037E"/>
    <w:rsid w:val="007A45DF"/>
    <w:rsid w:val="007A5047"/>
    <w:rsid w:val="007A5123"/>
    <w:rsid w:val="007D3BC7"/>
    <w:rsid w:val="00851C36"/>
    <w:rsid w:val="0085561C"/>
    <w:rsid w:val="00867C0D"/>
    <w:rsid w:val="00870EBC"/>
    <w:rsid w:val="0088720F"/>
    <w:rsid w:val="008D0D36"/>
    <w:rsid w:val="008D3C89"/>
    <w:rsid w:val="008D410E"/>
    <w:rsid w:val="008F4BAC"/>
    <w:rsid w:val="00924EF1"/>
    <w:rsid w:val="009256F9"/>
    <w:rsid w:val="00956A7B"/>
    <w:rsid w:val="00972F6F"/>
    <w:rsid w:val="00974437"/>
    <w:rsid w:val="009D23CA"/>
    <w:rsid w:val="00A22765"/>
    <w:rsid w:val="00A347A4"/>
    <w:rsid w:val="00A54036"/>
    <w:rsid w:val="00A77470"/>
    <w:rsid w:val="00AB5BB7"/>
    <w:rsid w:val="00AC0803"/>
    <w:rsid w:val="00AD467F"/>
    <w:rsid w:val="00B064DF"/>
    <w:rsid w:val="00B2051B"/>
    <w:rsid w:val="00B42C6D"/>
    <w:rsid w:val="00B6195A"/>
    <w:rsid w:val="00B93B94"/>
    <w:rsid w:val="00BE0EFA"/>
    <w:rsid w:val="00C041F7"/>
    <w:rsid w:val="00C14D23"/>
    <w:rsid w:val="00C478A4"/>
    <w:rsid w:val="00C502EF"/>
    <w:rsid w:val="00C56D9D"/>
    <w:rsid w:val="00C852D6"/>
    <w:rsid w:val="00C94EC5"/>
    <w:rsid w:val="00CB01F5"/>
    <w:rsid w:val="00CC7FB6"/>
    <w:rsid w:val="00CD7240"/>
    <w:rsid w:val="00D01F71"/>
    <w:rsid w:val="00D40167"/>
    <w:rsid w:val="00D40D79"/>
    <w:rsid w:val="00D43E47"/>
    <w:rsid w:val="00D50894"/>
    <w:rsid w:val="00D64023"/>
    <w:rsid w:val="00D7538E"/>
    <w:rsid w:val="00D95D67"/>
    <w:rsid w:val="00DC411D"/>
    <w:rsid w:val="00DE2185"/>
    <w:rsid w:val="00DE486A"/>
    <w:rsid w:val="00E20A42"/>
    <w:rsid w:val="00E267CB"/>
    <w:rsid w:val="00E26AD6"/>
    <w:rsid w:val="00E31731"/>
    <w:rsid w:val="00EA26EE"/>
    <w:rsid w:val="00EB71BD"/>
    <w:rsid w:val="00EC5FB5"/>
    <w:rsid w:val="00F047BC"/>
    <w:rsid w:val="00F15E39"/>
    <w:rsid w:val="00F24817"/>
    <w:rsid w:val="00F471DF"/>
    <w:rsid w:val="00F4749A"/>
    <w:rsid w:val="00F51DD8"/>
    <w:rsid w:val="00F5533E"/>
    <w:rsid w:val="00F55CF7"/>
    <w:rsid w:val="00F662D8"/>
    <w:rsid w:val="00F74DB7"/>
    <w:rsid w:val="00F82B9A"/>
    <w:rsid w:val="00F83A15"/>
    <w:rsid w:val="00F84444"/>
    <w:rsid w:val="00F94603"/>
    <w:rsid w:val="00FA2B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4F93FD"/>
  <w15:docId w15:val="{69E7DA0B-D28C-4C28-BA72-3B1A0C69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D6"/>
    <w:pPr>
      <w:suppressAutoHyphens/>
      <w:spacing w:after="200" w:line="276" w:lineRule="auto"/>
    </w:pPr>
    <w:rPr>
      <w:rFonts w:ascii="Calibri" w:eastAsia="Calibri" w:hAnsi="Calibri"/>
      <w:kern w:val="1"/>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E26AD6"/>
  </w:style>
  <w:style w:type="character" w:customStyle="1" w:styleId="EncabezadoCar">
    <w:name w:val="Encabezado Car"/>
    <w:rsid w:val="00E26AD6"/>
    <w:rPr>
      <w:rFonts w:cs="Times New Roman"/>
    </w:rPr>
  </w:style>
  <w:style w:type="character" w:customStyle="1" w:styleId="PiedepginaCar">
    <w:name w:val="Pie de página Car"/>
    <w:rsid w:val="00E26AD6"/>
    <w:rPr>
      <w:rFonts w:cs="Times New Roman"/>
    </w:rPr>
  </w:style>
  <w:style w:type="character" w:customStyle="1" w:styleId="TextodegloboCar">
    <w:name w:val="Texto de globo Car"/>
    <w:rsid w:val="00E26AD6"/>
    <w:rPr>
      <w:rFonts w:ascii="Tahoma" w:hAnsi="Tahoma" w:cs="Tahoma"/>
      <w:sz w:val="16"/>
      <w:szCs w:val="16"/>
    </w:rPr>
  </w:style>
  <w:style w:type="character" w:customStyle="1" w:styleId="Refdecomentario1">
    <w:name w:val="Ref. de comentario1"/>
    <w:rsid w:val="00E26AD6"/>
    <w:rPr>
      <w:sz w:val="16"/>
      <w:szCs w:val="16"/>
    </w:rPr>
  </w:style>
  <w:style w:type="character" w:customStyle="1" w:styleId="TextocomentarioCar">
    <w:name w:val="Texto comentario Car"/>
    <w:rsid w:val="00E26AD6"/>
    <w:rPr>
      <w:sz w:val="20"/>
      <w:szCs w:val="20"/>
    </w:rPr>
  </w:style>
  <w:style w:type="character" w:customStyle="1" w:styleId="AsuntodelcomentarioCar">
    <w:name w:val="Asunto del comentario Car"/>
    <w:rsid w:val="00E26AD6"/>
    <w:rPr>
      <w:b/>
      <w:bCs/>
      <w:sz w:val="20"/>
      <w:szCs w:val="20"/>
    </w:rPr>
  </w:style>
  <w:style w:type="character" w:customStyle="1" w:styleId="u">
    <w:name w:val="u"/>
    <w:basedOn w:val="Fuentedeprrafopredeter1"/>
    <w:rsid w:val="00E26AD6"/>
  </w:style>
  <w:style w:type="character" w:styleId="Hipervnculo">
    <w:name w:val="Hyperlink"/>
    <w:rsid w:val="00E26AD6"/>
    <w:rPr>
      <w:color w:val="0000FF"/>
      <w:u w:val="single"/>
    </w:rPr>
  </w:style>
  <w:style w:type="character" w:customStyle="1" w:styleId="A5">
    <w:name w:val="A5"/>
    <w:qFormat/>
    <w:rsid w:val="00E26AD6"/>
    <w:rPr>
      <w:rFonts w:cs="Helvetica 55 Roman"/>
      <w:color w:val="EC1B23"/>
      <w:sz w:val="20"/>
      <w:szCs w:val="20"/>
    </w:rPr>
  </w:style>
  <w:style w:type="character" w:styleId="nfasis">
    <w:name w:val="Emphasis"/>
    <w:qFormat/>
    <w:rsid w:val="00E26AD6"/>
    <w:rPr>
      <w:i/>
      <w:iCs/>
    </w:rPr>
  </w:style>
  <w:style w:type="paragraph" w:customStyle="1" w:styleId="Encabezado1">
    <w:name w:val="Encabezado1"/>
    <w:basedOn w:val="Normal"/>
    <w:next w:val="Textoindependiente"/>
    <w:rsid w:val="00E26AD6"/>
    <w:pPr>
      <w:keepNext/>
      <w:spacing w:before="240" w:after="120"/>
    </w:pPr>
    <w:rPr>
      <w:rFonts w:ascii="Arial" w:eastAsia="Microsoft YaHei" w:hAnsi="Arial" w:cs="Arial"/>
      <w:sz w:val="28"/>
      <w:szCs w:val="28"/>
    </w:rPr>
  </w:style>
  <w:style w:type="paragraph" w:styleId="Textoindependiente">
    <w:name w:val="Body Text"/>
    <w:basedOn w:val="Normal"/>
    <w:rsid w:val="00E26AD6"/>
    <w:pPr>
      <w:spacing w:after="120"/>
    </w:pPr>
  </w:style>
  <w:style w:type="paragraph" w:styleId="Lista">
    <w:name w:val="List"/>
    <w:basedOn w:val="Textoindependiente"/>
    <w:rsid w:val="00E26AD6"/>
    <w:rPr>
      <w:rFonts w:cs="Arial"/>
    </w:rPr>
  </w:style>
  <w:style w:type="paragraph" w:customStyle="1" w:styleId="Etiqueta">
    <w:name w:val="Etiqueta"/>
    <w:basedOn w:val="Normal"/>
    <w:rsid w:val="00E26AD6"/>
    <w:pPr>
      <w:suppressLineNumbers/>
      <w:spacing w:before="120" w:after="120"/>
    </w:pPr>
    <w:rPr>
      <w:rFonts w:cs="Arial"/>
      <w:i/>
      <w:iCs/>
      <w:sz w:val="24"/>
      <w:szCs w:val="24"/>
    </w:rPr>
  </w:style>
  <w:style w:type="paragraph" w:customStyle="1" w:styleId="ndice">
    <w:name w:val="Índice"/>
    <w:basedOn w:val="Normal"/>
    <w:rsid w:val="00E26AD6"/>
    <w:pPr>
      <w:suppressLineNumbers/>
    </w:pPr>
    <w:rPr>
      <w:rFonts w:cs="Arial"/>
    </w:rPr>
  </w:style>
  <w:style w:type="paragraph" w:styleId="Encabezado">
    <w:name w:val="header"/>
    <w:basedOn w:val="Normal"/>
    <w:rsid w:val="00E26AD6"/>
    <w:pPr>
      <w:suppressLineNumbers/>
      <w:tabs>
        <w:tab w:val="center" w:pos="4252"/>
        <w:tab w:val="right" w:pos="8504"/>
      </w:tabs>
      <w:spacing w:after="0" w:line="100" w:lineRule="atLeast"/>
    </w:pPr>
  </w:style>
  <w:style w:type="paragraph" w:styleId="Piedepgina">
    <w:name w:val="footer"/>
    <w:basedOn w:val="Normal"/>
    <w:rsid w:val="00E26AD6"/>
    <w:pPr>
      <w:suppressLineNumbers/>
      <w:tabs>
        <w:tab w:val="center" w:pos="4252"/>
        <w:tab w:val="right" w:pos="8504"/>
      </w:tabs>
      <w:spacing w:after="0" w:line="100" w:lineRule="atLeast"/>
    </w:pPr>
  </w:style>
  <w:style w:type="paragraph" w:customStyle="1" w:styleId="Textodeglobo1">
    <w:name w:val="Texto de globo1"/>
    <w:basedOn w:val="Normal"/>
    <w:rsid w:val="00E26AD6"/>
    <w:pPr>
      <w:spacing w:after="0" w:line="100" w:lineRule="atLeast"/>
    </w:pPr>
    <w:rPr>
      <w:rFonts w:ascii="Tahoma" w:hAnsi="Tahoma" w:cs="Tahoma"/>
      <w:sz w:val="16"/>
      <w:szCs w:val="16"/>
    </w:rPr>
  </w:style>
  <w:style w:type="paragraph" w:customStyle="1" w:styleId="Textocomentario1">
    <w:name w:val="Texto comentario1"/>
    <w:basedOn w:val="Normal"/>
    <w:rsid w:val="00E26AD6"/>
    <w:pPr>
      <w:spacing w:line="100" w:lineRule="atLeast"/>
    </w:pPr>
    <w:rPr>
      <w:sz w:val="20"/>
      <w:szCs w:val="20"/>
    </w:rPr>
  </w:style>
  <w:style w:type="paragraph" w:customStyle="1" w:styleId="Asuntodelcomentario1">
    <w:name w:val="Asunto del comentario1"/>
    <w:basedOn w:val="Textocomentario1"/>
    <w:rsid w:val="00E26AD6"/>
    <w:rPr>
      <w:b/>
      <w:bCs/>
    </w:rPr>
  </w:style>
  <w:style w:type="paragraph" w:customStyle="1" w:styleId="Revisin1">
    <w:name w:val="Revisión1"/>
    <w:rsid w:val="00E26AD6"/>
    <w:pPr>
      <w:suppressAutoHyphens/>
    </w:pPr>
    <w:rPr>
      <w:rFonts w:ascii="Calibri" w:eastAsia="Calibri" w:hAnsi="Calibri"/>
      <w:kern w:val="1"/>
      <w:sz w:val="22"/>
      <w:szCs w:val="22"/>
      <w:lang w:eastAsia="ar-SA"/>
    </w:rPr>
  </w:style>
  <w:style w:type="paragraph" w:customStyle="1" w:styleId="Default">
    <w:name w:val="Default"/>
    <w:rsid w:val="00E26AD6"/>
    <w:pPr>
      <w:suppressAutoHyphens/>
    </w:pPr>
    <w:rPr>
      <w:rFonts w:ascii="Calibri" w:hAnsi="Calibri" w:cs="Calibri"/>
      <w:color w:val="000000"/>
      <w:kern w:val="1"/>
      <w:sz w:val="24"/>
      <w:szCs w:val="24"/>
      <w:lang w:eastAsia="ar-SA"/>
    </w:rPr>
  </w:style>
  <w:style w:type="paragraph" w:styleId="NormalWeb">
    <w:name w:val="Normal (Web)"/>
    <w:basedOn w:val="Normal"/>
    <w:uiPriority w:val="99"/>
    <w:unhideWhenUsed/>
    <w:qFormat/>
    <w:rsid w:val="00C94EC5"/>
    <w:pPr>
      <w:suppressAutoHyphens w:val="0"/>
      <w:spacing w:after="0" w:line="240" w:lineRule="auto"/>
    </w:pPr>
    <w:rPr>
      <w:rFonts w:eastAsiaTheme="minorHAnsi" w:cs="Calibri"/>
      <w:kern w:val="0"/>
      <w:lang w:eastAsia="es-ES"/>
    </w:rPr>
  </w:style>
  <w:style w:type="paragraph" w:styleId="Textodeglobo">
    <w:name w:val="Balloon Text"/>
    <w:basedOn w:val="Normal"/>
    <w:link w:val="TextodegloboCar1"/>
    <w:uiPriority w:val="99"/>
    <w:semiHidden/>
    <w:unhideWhenUsed/>
    <w:rsid w:val="0050560B"/>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0560B"/>
    <w:rPr>
      <w:rFonts w:ascii="Tahoma" w:eastAsia="Calibri" w:hAnsi="Tahoma" w:cs="Tahoma"/>
      <w:kern w:val="1"/>
      <w:sz w:val="16"/>
      <w:szCs w:val="16"/>
      <w:lang w:eastAsia="ar-SA"/>
    </w:rPr>
  </w:style>
  <w:style w:type="character" w:customStyle="1" w:styleId="Ninguno">
    <w:name w:val="Ninguno"/>
    <w:rsid w:val="00331BD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1430</Words>
  <Characters>7868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XII Encuentro Anual de Médicos Residentes de la Sociedad Española de Nefrología</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Encuentro Anual de Médicos Residentes de la Sociedad Española de Nefrología</dc:title>
  <dc:creator>jazcarate</dc:creator>
  <cp:lastModifiedBy>Jesus Herrera</cp:lastModifiedBy>
  <cp:revision>23</cp:revision>
  <cp:lastPrinted>2017-09-27T13:15:00Z</cp:lastPrinted>
  <dcterms:created xsi:type="dcterms:W3CDTF">2022-11-15T17:47:00Z</dcterms:created>
  <dcterms:modified xsi:type="dcterms:W3CDTF">2022-11-17T11:22:00Z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