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B36FB" w14:textId="093BF175" w:rsidR="00062818" w:rsidRDefault="001944C8" w:rsidP="00952743">
      <w:pPr>
        <w:pStyle w:val="Ttulo2"/>
        <w:spacing w:before="400"/>
      </w:pPr>
      <w:r w:rsidRPr="001944C8">
        <w:drawing>
          <wp:anchor distT="0" distB="0" distL="114300" distR="114300" simplePos="0" relativeHeight="251691008" behindDoc="1" locked="0" layoutInCell="1" allowOverlap="1" wp14:anchorId="3B021BB4" wp14:editId="2F88B4A8">
            <wp:simplePos x="0" y="0"/>
            <wp:positionH relativeFrom="page">
              <wp:posOffset>-30480</wp:posOffset>
            </wp:positionH>
            <wp:positionV relativeFrom="paragraph">
              <wp:posOffset>-1064895</wp:posOffset>
            </wp:positionV>
            <wp:extent cx="7572375" cy="1638300"/>
            <wp:effectExtent l="0" t="0" r="9525"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140" b="84723"/>
                    <a:stretch/>
                  </pic:blipFill>
                  <pic:spPr bwMode="auto">
                    <a:xfrm>
                      <a:off x="0" y="0"/>
                      <a:ext cx="757237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9A0A3" w14:textId="02E8512B" w:rsidR="00563BF9" w:rsidRPr="00070BB2" w:rsidRDefault="00070BB2" w:rsidP="00563BF9">
      <w:pPr>
        <w:pStyle w:val="Listaconvietas"/>
        <w:numPr>
          <w:ilvl w:val="0"/>
          <w:numId w:val="0"/>
        </w:numPr>
        <w:ind w:left="360" w:hanging="360"/>
        <w:rPr>
          <w:i/>
          <w:iCs/>
          <w:color w:val="808080" w:themeColor="background1" w:themeShade="80"/>
          <w:szCs w:val="24"/>
        </w:rPr>
      </w:pPr>
      <w:bookmarkStart w:id="0" w:name="_Hlk97120930"/>
      <w:bookmarkStart w:id="1" w:name="_Hlk102045296"/>
      <w:r w:rsidRPr="00070BB2">
        <w:rPr>
          <w:i/>
          <w:iCs/>
          <w:color w:val="808080" w:themeColor="background1" w:themeShade="80"/>
          <w:szCs w:val="24"/>
        </w:rPr>
        <w:t>22 Congreso Nacional Farmacéutico y el 80 Congreso Mundial de Farmacia</w:t>
      </w:r>
    </w:p>
    <w:p w14:paraId="3E21E455" w14:textId="4BD88CFB" w:rsidR="00686311" w:rsidRPr="008C5F6B" w:rsidRDefault="00B23CB0" w:rsidP="00686311">
      <w:pPr>
        <w:pStyle w:val="Ttulo2"/>
        <w:spacing w:before="0" w:after="0"/>
        <w:ind w:right="-431"/>
        <w:rPr>
          <w:szCs w:val="44"/>
          <w:lang w:eastAsia="es-ES"/>
        </w:rPr>
      </w:pPr>
      <w:r>
        <w:rPr>
          <w:szCs w:val="44"/>
          <w:lang w:eastAsia="es-ES"/>
        </w:rPr>
        <w:t>España presenta al mundo su modelo de farmacia</w:t>
      </w:r>
    </w:p>
    <w:p w14:paraId="7C419078" w14:textId="17BD66ED" w:rsidR="00704CE0" w:rsidRDefault="00704CE0" w:rsidP="00F40976">
      <w:pPr>
        <w:pStyle w:val="Listaconvietas"/>
        <w:rPr>
          <w:lang w:eastAsia="es-ES"/>
        </w:rPr>
      </w:pPr>
      <w:r>
        <w:rPr>
          <w:lang w:eastAsia="es-ES"/>
        </w:rPr>
        <w:t>La estrategia “Somos Farmacéuticos”, que también da nombre al Congreso Nacional, es la hoja de ruta de la profesión con tres grandes líneas de actuación: asistencial, social y digital</w:t>
      </w:r>
    </w:p>
    <w:p w14:paraId="1C9E39DE" w14:textId="18D5B7CE" w:rsidR="00D218F5" w:rsidRDefault="005C4CD1" w:rsidP="000D5A09">
      <w:pPr>
        <w:pStyle w:val="Listaconvietas"/>
        <w:rPr>
          <w:lang w:eastAsia="es-ES"/>
        </w:rPr>
      </w:pPr>
      <w:r>
        <w:t xml:space="preserve">Con la sesión “La Farmacia en España” se </w:t>
      </w:r>
      <w:r w:rsidR="00704CE0">
        <w:t xml:space="preserve">da comienzo a </w:t>
      </w:r>
      <w:r>
        <w:t>las actividades que se desarrollan en Sevilla con motivo de</w:t>
      </w:r>
      <w:r w:rsidR="00704CE0">
        <w:t>l 22 Congreso Nacional Farmacéutico y el 80 Congreso Mundial de la Farmacia</w:t>
      </w:r>
    </w:p>
    <w:p w14:paraId="6EBFD08E" w14:textId="77777777" w:rsidR="0073084C" w:rsidRPr="00686311" w:rsidRDefault="0073084C">
      <w:pPr>
        <w:rPr>
          <w:b/>
          <w:bCs/>
          <w:color w:val="FF0000"/>
          <w:sz w:val="8"/>
          <w:szCs w:val="8"/>
        </w:rPr>
      </w:pPr>
    </w:p>
    <w:bookmarkEnd w:id="0"/>
    <w:bookmarkEnd w:id="1"/>
    <w:p w14:paraId="5918B93E" w14:textId="3F3755EB" w:rsidR="00DE0867" w:rsidRDefault="00686311" w:rsidP="00686311">
      <w:pPr>
        <w:spacing w:after="120"/>
      </w:pPr>
      <w:r w:rsidRPr="008048FC">
        <w:rPr>
          <w:rFonts w:eastAsia="Calibri"/>
          <w:b/>
          <w:color w:val="auto"/>
        </w:rPr>
        <w:t xml:space="preserve">Sevilla, </w:t>
      </w:r>
      <w:r w:rsidR="00B23CB0" w:rsidRPr="008048FC">
        <w:rPr>
          <w:rFonts w:eastAsia="Calibri"/>
          <w:b/>
          <w:color w:val="auto"/>
        </w:rPr>
        <w:t>18</w:t>
      </w:r>
      <w:r w:rsidRPr="008048FC">
        <w:rPr>
          <w:rFonts w:eastAsia="Calibri"/>
          <w:b/>
          <w:color w:val="auto"/>
        </w:rPr>
        <w:t xml:space="preserve"> de septiembre de 2022.- </w:t>
      </w:r>
      <w:r w:rsidR="00B23CB0" w:rsidRPr="00B23CB0">
        <w:t>En una sesión previa a la inauguración del 22 Congreso Nacional Farmacéutico y el 80 Congreso Mundial de la Farmacia,</w:t>
      </w:r>
      <w:r w:rsidR="00DE0867">
        <w:t xml:space="preserve"> que </w:t>
      </w:r>
      <w:r w:rsidR="008048FC">
        <w:t>ha comenzado</w:t>
      </w:r>
      <w:r w:rsidR="00DE0867">
        <w:t xml:space="preserve"> hoy en Sevilla,</w:t>
      </w:r>
      <w:r w:rsidR="00B23CB0" w:rsidRPr="00B23CB0">
        <w:t xml:space="preserve"> e</w:t>
      </w:r>
      <w:r w:rsidRPr="007F25F3">
        <w:t>l Consejo General de Colegios Oficiales de Farmacéuticos</w:t>
      </w:r>
      <w:r>
        <w:t xml:space="preserve"> </w:t>
      </w:r>
      <w:r w:rsidR="008048FC">
        <w:t xml:space="preserve">(CGCOF) </w:t>
      </w:r>
      <w:r>
        <w:t xml:space="preserve">ha </w:t>
      </w:r>
      <w:r w:rsidR="00B23CB0">
        <w:t>presentado</w:t>
      </w:r>
      <w:r w:rsidR="008048FC">
        <w:t xml:space="preserve"> </w:t>
      </w:r>
      <w:r w:rsidR="00B23CB0">
        <w:t>“La Farmacia en España”</w:t>
      </w:r>
      <w:r w:rsidR="00DE0867">
        <w:t xml:space="preserve">. </w:t>
      </w:r>
    </w:p>
    <w:p w14:paraId="1229EB6F" w14:textId="214F5243" w:rsidR="00D003AB" w:rsidRPr="006B4DAF" w:rsidRDefault="00DE0867" w:rsidP="00D003AB">
      <w:pPr>
        <w:spacing w:after="120"/>
      </w:pPr>
      <w:r>
        <w:t>U</w:t>
      </w:r>
      <w:r w:rsidR="00B23CB0">
        <w:t xml:space="preserve">na radiografía de la situación actual de la profesión en nuestro país en la que también se ha expuesto la estrategia </w:t>
      </w:r>
      <w:r>
        <w:t xml:space="preserve">que guía, desde 2019, las acciones y proyectos de ésta de cara a los próximos años y que también es el lema bajo el que se ha organizado el programa del propio Congreso Nacional: “Somos Farmacéuticos: asistenciales, sociales y digitales”. </w:t>
      </w:r>
      <w:r w:rsidR="00D003AB">
        <w:t>Una hoja de ruta que tiene como</w:t>
      </w:r>
      <w:r w:rsidR="00D003AB" w:rsidRPr="006B4DAF">
        <w:t xml:space="preserve"> propósito garantizar el reconocimiento del potencial de la profesión y su capacidad para aportar valor a la Sanidad y a toda la sociedad.</w:t>
      </w:r>
    </w:p>
    <w:p w14:paraId="46BBE343" w14:textId="3257743A" w:rsidR="00D5748D" w:rsidRDefault="00D5748D" w:rsidP="000A4C0A">
      <w:pPr>
        <w:spacing w:after="120"/>
      </w:pPr>
      <w:r>
        <w:t>Miembros</w:t>
      </w:r>
      <w:r w:rsidR="00E015AF">
        <w:t xml:space="preserve"> del Comité Directivo y </w:t>
      </w:r>
      <w:r w:rsidR="008048FC">
        <w:t>directores y responsables</w:t>
      </w:r>
      <w:r w:rsidR="00E015AF">
        <w:t xml:space="preserve"> del Congreso </w:t>
      </w:r>
      <w:r>
        <w:t xml:space="preserve">General </w:t>
      </w:r>
      <w:r w:rsidR="00E015AF">
        <w:t xml:space="preserve">han sido los encargados de </w:t>
      </w:r>
      <w:r>
        <w:t xml:space="preserve">realizar la presentación, encabezados </w:t>
      </w:r>
      <w:r w:rsidR="004269CC">
        <w:t xml:space="preserve">por </w:t>
      </w:r>
      <w:r>
        <w:t>J</w:t>
      </w:r>
      <w:r w:rsidR="00E015AF">
        <w:t xml:space="preserve">esús Aguilar, </w:t>
      </w:r>
      <w:r w:rsidR="004269CC">
        <w:t xml:space="preserve">su presidente, </w:t>
      </w:r>
      <w:r>
        <w:t xml:space="preserve">quien ha afirmado que </w:t>
      </w:r>
      <w:r w:rsidR="008048FC">
        <w:t>“</w:t>
      </w:r>
      <w:r>
        <w:t xml:space="preserve">es un privilegio ser el </w:t>
      </w:r>
      <w:r w:rsidR="004269CC">
        <w:t xml:space="preserve">dirigente </w:t>
      </w:r>
      <w:r>
        <w:t xml:space="preserve">del </w:t>
      </w:r>
      <w:r w:rsidRPr="007E428C">
        <w:t xml:space="preserve">organismo que representa a los farmacéuticos en España a través de </w:t>
      </w:r>
      <w:r w:rsidR="008048FC">
        <w:t>los Colegios</w:t>
      </w:r>
      <w:r w:rsidRPr="007E428C">
        <w:t xml:space="preserve"> Oficiales de </w:t>
      </w:r>
      <w:r w:rsidR="00750C8B">
        <w:t>Farmacéuticos</w:t>
      </w:r>
      <w:r w:rsidR="006B4DAF">
        <w:t xml:space="preserve">, y dar a conocer el que </w:t>
      </w:r>
      <w:r w:rsidR="00050AD5">
        <w:t xml:space="preserve">es </w:t>
      </w:r>
      <w:r w:rsidR="006B4DAF">
        <w:t>uno de los mejores modelos de farmacia del mundo</w:t>
      </w:r>
      <w:r w:rsidR="008048FC">
        <w:t>”</w:t>
      </w:r>
      <w:r>
        <w:t>. Lo ha hecho ante un</w:t>
      </w:r>
      <w:r w:rsidR="000702FD">
        <w:t xml:space="preserve"> auditorio</w:t>
      </w:r>
      <w:r w:rsidR="004269CC">
        <w:t xml:space="preserve"> formado</w:t>
      </w:r>
      <w:r>
        <w:t xml:space="preserve"> en </w:t>
      </w:r>
      <w:r w:rsidR="004269CC">
        <w:t xml:space="preserve">su </w:t>
      </w:r>
      <w:r>
        <w:t xml:space="preserve">mayor parte </w:t>
      </w:r>
      <w:r w:rsidR="005721DA">
        <w:t xml:space="preserve">por </w:t>
      </w:r>
      <w:r w:rsidR="00E26215">
        <w:t>profesionales del sector</w:t>
      </w:r>
      <w:r w:rsidR="004269CC">
        <w:t xml:space="preserve"> </w:t>
      </w:r>
      <w:r>
        <w:t xml:space="preserve">procedentes de </w:t>
      </w:r>
      <w:r w:rsidR="008048FC">
        <w:t>los cinco continentes</w:t>
      </w:r>
      <w:r>
        <w:t xml:space="preserve"> que se reúnen estos días en la capital hispalense con motivo del mayor encuentro </w:t>
      </w:r>
      <w:r w:rsidR="008048FC">
        <w:t xml:space="preserve">mundial </w:t>
      </w:r>
      <w:r>
        <w:t>de la profesión.</w:t>
      </w:r>
      <w:r w:rsidR="000702FD">
        <w:t xml:space="preserve"> </w:t>
      </w:r>
    </w:p>
    <w:p w14:paraId="7994E666" w14:textId="407A1ED1" w:rsidR="00F71A22" w:rsidRDefault="006B4DAF" w:rsidP="006B4DAF">
      <w:pPr>
        <w:spacing w:after="120"/>
      </w:pPr>
      <w:r>
        <w:t xml:space="preserve">La parte asistencial, en palabras de la secretaria general del CGCOF, Raquel Martínez, se pone de manifiesto en el hecho de que “en España, </w:t>
      </w:r>
      <w:r w:rsidRPr="006B4DAF">
        <w:t xml:space="preserve">la profesión farmacéutica </w:t>
      </w:r>
      <w:r>
        <w:t>se caracteriza por su</w:t>
      </w:r>
      <w:r w:rsidRPr="006B4DAF">
        <w:t xml:space="preserve"> diversidad, con múltiples áreas de práctica que comparten un objetivo común: mejorar la salud de los pacientes</w:t>
      </w:r>
      <w:r>
        <w:t xml:space="preserve">”. </w:t>
      </w:r>
      <w:r w:rsidR="00E40D9A">
        <w:t xml:space="preserve">En lo que se refiere a la estrategia social, la tesorera del GCCOF, Ana López Casero, ha explicado que </w:t>
      </w:r>
      <w:r w:rsidR="00D003AB">
        <w:t>“</w:t>
      </w:r>
      <w:r w:rsidR="009E29C0">
        <w:t xml:space="preserve">el </w:t>
      </w:r>
      <w:r w:rsidR="00E40D9A">
        <w:t>papel social es la cara B de la profesión</w:t>
      </w:r>
      <w:r w:rsidR="008F0D83">
        <w:t xml:space="preserve">. Una función social que </w:t>
      </w:r>
      <w:r w:rsidR="00E40D9A">
        <w:t>hay visibilizar</w:t>
      </w:r>
      <w:r w:rsidR="008F0D83">
        <w:t>, y u</w:t>
      </w:r>
      <w:r w:rsidR="00E40D9A">
        <w:t xml:space="preserve">na faceta que convierte al farmacéutico en un agente de </w:t>
      </w:r>
      <w:r w:rsidR="00F71A22">
        <w:t>salud 360: física, mental y social”. Por último, el vicepresidente del CGCOF, Juan Pedro Rísquez ha recordado que “la innovación forma parte del ADN de la Farmacia”, y ha insistido en que todos proyectos tecnológicos de la profesión parte</w:t>
      </w:r>
      <w:r w:rsidR="009E29C0">
        <w:t>n</w:t>
      </w:r>
      <w:r w:rsidR="00F71A22">
        <w:t xml:space="preserve"> de una misma premisa</w:t>
      </w:r>
      <w:r w:rsidR="00D003AB">
        <w:t>: “digitalizar es humanizar”.</w:t>
      </w:r>
    </w:p>
    <w:p w14:paraId="74B833AB" w14:textId="74E8E268" w:rsidR="000702FD" w:rsidRDefault="000702FD" w:rsidP="000A4C0A">
      <w:pPr>
        <w:spacing w:after="120"/>
      </w:pPr>
      <w:r>
        <w:t xml:space="preserve">De esta sesión se </w:t>
      </w:r>
      <w:r w:rsidR="00A813A7">
        <w:t>concluye</w:t>
      </w:r>
      <w:r>
        <w:t xml:space="preserve"> que la Farmacia de España es un referente </w:t>
      </w:r>
      <w:r w:rsidR="009E29C0">
        <w:t>mundial</w:t>
      </w:r>
      <w:r>
        <w:t>. Con 78.128 farmacéuticos colegiados y 22.198 farmacias comunitarias, es la red más extensa de toda Europa. Un modelo que asegura la máxima calidad y seguridad para los 47 millon</w:t>
      </w:r>
      <w:r w:rsidR="00A813A7">
        <w:t>es de españoles</w:t>
      </w:r>
      <w:r>
        <w:t xml:space="preserve"> con independencia de su código postal. </w:t>
      </w:r>
    </w:p>
    <w:p w14:paraId="743C57BA" w14:textId="77777777" w:rsidR="00E460F4" w:rsidRPr="005422B6" w:rsidRDefault="00E460F4" w:rsidP="00E460F4">
      <w:pPr>
        <w:pStyle w:val="Ttulo4"/>
      </w:pPr>
      <w:r w:rsidRPr="005422B6">
        <w:t xml:space="preserve">80 Congreso Mundial de Farmacia </w:t>
      </w:r>
    </w:p>
    <w:p w14:paraId="49FE7680" w14:textId="77777777" w:rsidR="00E460F4" w:rsidRDefault="00E460F4" w:rsidP="00E460F4">
      <w:r>
        <w:t xml:space="preserve">Con el </w:t>
      </w:r>
      <w:r w:rsidRPr="00AC457E">
        <w:t xml:space="preserve">lema </w:t>
      </w:r>
      <w:r w:rsidRPr="00AC457E">
        <w:rPr>
          <w:i/>
          <w:iCs/>
        </w:rPr>
        <w:t>“La Farmacia, unida en la recuperación de la atención sanitaria”</w:t>
      </w:r>
      <w:r w:rsidRPr="00AC457E">
        <w:t xml:space="preserve">, el </w:t>
      </w:r>
      <w:hyperlink r:id="rId9" w:tgtFrame="_blank" w:history="1">
        <w:r w:rsidRPr="00AC457E">
          <w:t>80 Congreso Mundial de Farmacia y Ciencias Farmacéuticas</w:t>
        </w:r>
      </w:hyperlink>
      <w:r w:rsidRPr="00AC457E">
        <w:t xml:space="preserve"> de la Federación Internacional Farmacéutica (FIP) contará con participantes de más de cien países, aprovechará y repasará las lecciones aprendidas por todo el mundo durante la pandemia para prepararse ante futuras emergencias. </w:t>
      </w:r>
      <w:r>
        <w:t xml:space="preserve">Todo ello a través de </w:t>
      </w:r>
      <w:r w:rsidRPr="00AC457E">
        <w:t xml:space="preserve">tres </w:t>
      </w:r>
      <w:r>
        <w:t xml:space="preserve">grandes </w:t>
      </w:r>
      <w:r w:rsidRPr="00AC457E">
        <w:t xml:space="preserve">bloques temáticos: No desaprovechar nunca una crisis, </w:t>
      </w:r>
      <w:r>
        <w:t>l</w:t>
      </w:r>
      <w:r w:rsidRPr="00AC457E">
        <w:t>ecciones para hacer frente al futuro; La ciencia y las pruebas que respaldan la respuesta a la COVID-19; y Cómo hacer frente a desafíos éticos nuevos y de carácter excepcional</w:t>
      </w:r>
      <w:r>
        <w:t xml:space="preserve">. </w:t>
      </w:r>
    </w:p>
    <w:p w14:paraId="4214F720" w14:textId="77777777" w:rsidR="00E460F4" w:rsidRPr="005422B6" w:rsidRDefault="00E460F4" w:rsidP="00E460F4">
      <w:pPr>
        <w:pStyle w:val="Ttulo4"/>
      </w:pPr>
      <w:r w:rsidRPr="005422B6">
        <w:t>22 Congreso Nacional Farmacéutico</w:t>
      </w:r>
    </w:p>
    <w:p w14:paraId="39594C4F" w14:textId="77777777" w:rsidR="00E460F4" w:rsidRDefault="00E460F4" w:rsidP="00E460F4">
      <w:r>
        <w:t xml:space="preserve">Con el lema </w:t>
      </w:r>
      <w:r w:rsidRPr="00F074A0">
        <w:rPr>
          <w:i/>
          <w:iCs/>
        </w:rPr>
        <w:t>“Somos farmacéuticos: Asistenciales, sociales y digitales”</w:t>
      </w:r>
      <w:r>
        <w:t>, el 22 Congreso Nacional Farmacéutico contará con 11 mesas redondas o de debate, 4 sesiones de innovación y 25 sesiones técnicas, en las que se repasarán los temas de máxima actualidad profesional como: los n</w:t>
      </w:r>
      <w:r w:rsidRPr="00F074A0">
        <w:t xml:space="preserve">uevos modelos de continuidad entre niveles asistenciales, la Atención Farmacéutica Domiciliaria, la seguridad del paciente en el entorno digital, las salidas profesionales, los trabajos de la Mesa de la Profesión Farmacéutica, Innovación social y Farmacia, COVID-19: actualidad de aspectos clínicos y terapéuticos, </w:t>
      </w:r>
      <w:r>
        <w:t xml:space="preserve">la </w:t>
      </w:r>
      <w:r w:rsidRPr="00F074A0">
        <w:t>Cartera de Servicios Profesionales Farmacéuticos Asistenciales en el SNS, Digitalización, Salud Pública, etc.</w:t>
      </w:r>
    </w:p>
    <w:p w14:paraId="35385C49" w14:textId="30AD2847" w:rsidR="008416B1" w:rsidRPr="001B2E16" w:rsidRDefault="008416B1" w:rsidP="00686311">
      <w:pPr>
        <w:spacing w:after="120"/>
      </w:pPr>
    </w:p>
    <w:sectPr w:rsidR="008416B1" w:rsidRPr="001B2E16" w:rsidSect="00764CD1">
      <w:headerReference w:type="even" r:id="rId10"/>
      <w:headerReference w:type="default" r:id="rId11"/>
      <w:footerReference w:type="even" r:id="rId12"/>
      <w:footerReference w:type="default" r:id="rId13"/>
      <w:headerReference w:type="first" r:id="rId14"/>
      <w:footerReference w:type="first" r:id="rId15"/>
      <w:pgSz w:w="11901" w:h="16817"/>
      <w:pgMar w:top="1473" w:right="1559" w:bottom="1985"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85881" w14:textId="77777777" w:rsidR="001314AD" w:rsidRDefault="001314AD" w:rsidP="00C73981">
      <w:r>
        <w:separator/>
      </w:r>
    </w:p>
    <w:p w14:paraId="03A83E02" w14:textId="77777777" w:rsidR="001314AD" w:rsidRDefault="001314AD" w:rsidP="00C73981"/>
    <w:p w14:paraId="685F90D7" w14:textId="77777777" w:rsidR="001314AD" w:rsidRDefault="001314AD" w:rsidP="00C73981"/>
    <w:p w14:paraId="35447833" w14:textId="77777777" w:rsidR="001314AD" w:rsidRDefault="001314AD" w:rsidP="00C73981"/>
  </w:endnote>
  <w:endnote w:type="continuationSeparator" w:id="0">
    <w:p w14:paraId="6213F768" w14:textId="77777777" w:rsidR="001314AD" w:rsidRDefault="001314AD" w:rsidP="00C73981">
      <w:r>
        <w:continuationSeparator/>
      </w:r>
    </w:p>
    <w:p w14:paraId="3307418D" w14:textId="77777777" w:rsidR="001314AD" w:rsidRDefault="001314AD" w:rsidP="00C73981"/>
    <w:p w14:paraId="386A7FDC" w14:textId="77777777" w:rsidR="001314AD" w:rsidRDefault="001314AD" w:rsidP="00C73981"/>
    <w:p w14:paraId="68B7F941" w14:textId="77777777" w:rsidR="001314AD" w:rsidRDefault="001314AD" w:rsidP="00C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altName w:val="Arial"/>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charset w:val="00"/>
    <w:family w:val="modern"/>
    <w:notTrueType/>
    <w:pitch w:val="variable"/>
    <w:sig w:usb0="A00000AF" w:usb1="4000207B" w:usb2="00000000" w:usb3="00000000" w:csb0="0000008B" w:csb1="00000000"/>
  </w:font>
  <w:font w:name="Angsana New (Títulos en alfabet">
    <w:altName w:val="Times New Roman"/>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Flama">
    <w:charset w:val="00"/>
    <w:family w:val="modern"/>
    <w:notTrueType/>
    <w:pitch w:val="variable"/>
    <w:sig w:usb0="A00000AF" w:usb1="5000204A" w:usb2="00000000" w:usb3="00000000" w:csb0="00000111" w:csb1="00000000"/>
  </w:font>
  <w:font w:name="Cordia New (Cuerpo en alfabeto">
    <w:altName w:val="Times New Roman"/>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726446067"/>
      <w:docPartObj>
        <w:docPartGallery w:val="Page Numbers (Bottom of Page)"/>
        <w:docPartUnique/>
      </w:docPartObj>
    </w:sdtPr>
    <w:sdtEndPr>
      <w:rPr>
        <w:rStyle w:val="Nmerodepgina"/>
      </w:rPr>
    </w:sdtEndPr>
    <w:sdtContent>
      <w:p w14:paraId="2CDF615C" w14:textId="77777777" w:rsidR="0096031C" w:rsidRDefault="0096031C"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A6DDDE" w14:textId="77777777" w:rsidR="00BB0979" w:rsidRDefault="00BB0979" w:rsidP="00C73981">
    <w:pPr>
      <w:pStyle w:val="Piedepgina"/>
    </w:pPr>
  </w:p>
  <w:p w14:paraId="6C9A4026" w14:textId="77777777" w:rsidR="0073353C" w:rsidRDefault="0073353C"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EE7F" w14:textId="7E9BE130" w:rsidR="006879BF" w:rsidRDefault="006879BF" w:rsidP="00C73981">
    <w:pPr>
      <w:pStyle w:val="Piedepgina"/>
    </w:pPr>
  </w:p>
  <w:p w14:paraId="7A944E88" w14:textId="77777777" w:rsidR="006879BF" w:rsidRDefault="006879BF" w:rsidP="00C73981">
    <w:pPr>
      <w:pStyle w:val="Piedepgina"/>
    </w:pPr>
    <w:r>
      <w:rPr>
        <w:noProof/>
        <w:lang w:eastAsia="es-ES"/>
      </w:rPr>
      <mc:AlternateContent>
        <mc:Choice Requires="wps">
          <w:drawing>
            <wp:anchor distT="0" distB="0" distL="114300" distR="114300" simplePos="0" relativeHeight="251663360" behindDoc="0" locked="0" layoutInCell="1" allowOverlap="1" wp14:anchorId="3481D930" wp14:editId="7475E0F3">
              <wp:simplePos x="0" y="0"/>
              <wp:positionH relativeFrom="column">
                <wp:posOffset>-989965</wp:posOffset>
              </wp:positionH>
              <wp:positionV relativeFrom="paragraph">
                <wp:posOffset>-8765</wp:posOffset>
              </wp:positionV>
              <wp:extent cx="7571574" cy="0"/>
              <wp:effectExtent l="0" t="0" r="10795" b="12700"/>
              <wp:wrapNone/>
              <wp:docPr id="22" name="Conector recto 22"/>
              <wp:cNvGraphicFramePr/>
              <a:graphic xmlns:a="http://schemas.openxmlformats.org/drawingml/2006/main">
                <a:graphicData uri="http://schemas.microsoft.com/office/word/2010/wordprocessingShape">
                  <wps:wsp>
                    <wps:cNvCnPr/>
                    <wps:spPr>
                      <a:xfrm>
                        <a:off x="0" y="0"/>
                        <a:ext cx="757157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3B6BFA95" id="Conector recto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" strokecolor="#e7e6e6 [3214]" strokeweight=".5pt">
              <v:stroke joinstyle="miter"/>
            </v:line>
          </w:pict>
        </mc:Fallback>
      </mc:AlternateContent>
    </w:r>
    <w:r w:rsidRPr="006879BF">
      <w:rPr>
        <w:noProof/>
        <w:color w:val="BFBFBF" w:themeColor="background1" w:themeShade="BF"/>
        <w:lang w:eastAsia="es-ES"/>
      </w:rPr>
      <w:drawing>
        <wp:anchor distT="0" distB="0" distL="114300" distR="114300" simplePos="0" relativeHeight="251659264" behindDoc="0" locked="0" layoutInCell="1" allowOverlap="1" wp14:anchorId="6943B44C" wp14:editId="6568C8B5">
          <wp:simplePos x="0" y="0"/>
          <wp:positionH relativeFrom="column">
            <wp:posOffset>-544830</wp:posOffset>
          </wp:positionH>
          <wp:positionV relativeFrom="paragraph">
            <wp:posOffset>186791</wp:posOffset>
          </wp:positionV>
          <wp:extent cx="1944717" cy="589660"/>
          <wp:effectExtent l="0" t="0" r="0" b="0"/>
          <wp:wrapNone/>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2695B3CA" w14:textId="1E762659" w:rsidR="006879BF" w:rsidRPr="006A38D8" w:rsidRDefault="006879BF" w:rsidP="00C73981">
    <w:pPr>
      <w:pStyle w:val="Piedepgina"/>
      <w:rPr>
        <w:sz w:val="16"/>
        <w:szCs w:val="16"/>
      </w:rPr>
    </w:pPr>
  </w:p>
  <w:p w14:paraId="581F13F0" w14:textId="37F7220F" w:rsidR="006879BF" w:rsidRPr="006A38D8" w:rsidRDefault="006879BF" w:rsidP="00C73981">
    <w:pPr>
      <w:pStyle w:val="Piedepgina"/>
      <w:rPr>
        <w:sz w:val="16"/>
        <w:szCs w:val="16"/>
      </w:rPr>
    </w:pPr>
  </w:p>
  <w:p w14:paraId="3B4CC9EF" w14:textId="16209A4D" w:rsidR="006879BF" w:rsidRDefault="005F4EC0" w:rsidP="00C73981">
    <w:pPr>
      <w:pStyle w:val="Piedepgina"/>
      <w:rPr>
        <w:sz w:val="16"/>
        <w:szCs w:val="16"/>
      </w:rPr>
    </w:pPr>
    <w:r>
      <w:rPr>
        <w:noProof/>
        <w:sz w:val="16"/>
        <w:szCs w:val="16"/>
      </w:rPr>
      <w:drawing>
        <wp:anchor distT="0" distB="0" distL="114300" distR="114300" simplePos="0" relativeHeight="251676672" behindDoc="1" locked="0" layoutInCell="1" allowOverlap="1" wp14:anchorId="266F5A84" wp14:editId="0A100325">
          <wp:simplePos x="0" y="0"/>
          <wp:positionH relativeFrom="column">
            <wp:posOffset>3757295</wp:posOffset>
          </wp:positionH>
          <wp:positionV relativeFrom="paragraph">
            <wp:posOffset>50165</wp:posOffset>
          </wp:positionV>
          <wp:extent cx="2188800" cy="288000"/>
          <wp:effectExtent l="0" t="0" r="2540" b="0"/>
          <wp:wrapTight wrapText="bothSides">
            <wp:wrapPolygon edited="0">
              <wp:start x="0" y="0"/>
              <wp:lineTo x="0" y="20026"/>
              <wp:lineTo x="21437" y="20026"/>
              <wp:lineTo x="21437" y="0"/>
              <wp:lineTo x="0" y="0"/>
            </wp:wrapPolygon>
          </wp:wrapTight>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00" cy="288000"/>
                  </a:xfrm>
                  <a:prstGeom prst="rect">
                    <a:avLst/>
                  </a:prstGeom>
                  <a:noFill/>
                </pic:spPr>
              </pic:pic>
            </a:graphicData>
          </a:graphic>
          <wp14:sizeRelH relativeFrom="margin">
            <wp14:pctWidth>0</wp14:pctWidth>
          </wp14:sizeRelH>
          <wp14:sizeRelV relativeFrom="margin">
            <wp14:pctHeight>0</wp14:pctHeight>
          </wp14:sizeRelV>
        </wp:anchor>
      </w:drawing>
    </w:r>
  </w:p>
  <w:p w14:paraId="0BEBB74F" w14:textId="034C0320" w:rsidR="006A38D8" w:rsidRPr="006A38D8" w:rsidRDefault="006A38D8" w:rsidP="00C73981">
    <w:pPr>
      <w:pStyle w:val="Piedepgina"/>
      <w:rPr>
        <w:sz w:val="16"/>
        <w:szCs w:val="16"/>
      </w:rPr>
    </w:pPr>
  </w:p>
  <w:p w14:paraId="6CE4113C" w14:textId="77777777" w:rsidR="006879BF" w:rsidRPr="006A38D8" w:rsidRDefault="006879BF" w:rsidP="00C73981">
    <w:pPr>
      <w:pStyle w:val="Piedepgina"/>
      <w:rPr>
        <w:sz w:val="16"/>
        <w:szCs w:val="16"/>
      </w:rPr>
    </w:pPr>
  </w:p>
  <w:p w14:paraId="04762C34" w14:textId="42F3CF71" w:rsidR="006879BF" w:rsidRPr="00B64379" w:rsidRDefault="006879BF" w:rsidP="00C73981">
    <w:pPr>
      <w:pStyle w:val="Piedepgina"/>
      <w:rPr>
        <w:color w:val="BFBFBF" w:themeColor="background1" w:themeShade="BF"/>
        <w:sz w:val="16"/>
        <w:szCs w:val="16"/>
      </w:rPr>
    </w:pPr>
    <w:r w:rsidRPr="00B64379">
      <w:rPr>
        <w:color w:val="BFBFBF" w:themeColor="background1" w:themeShade="BF"/>
        <w:sz w:val="16"/>
        <w:szCs w:val="16"/>
      </w:rPr>
      <w:t xml:space="preserve">91 431 25 60  —  </w:t>
    </w:r>
    <w:hyperlink r:id="rId3" w:history="1">
      <w:r w:rsidRPr="00B64379">
        <w:rPr>
          <w:rStyle w:val="Hipervnculo"/>
          <w:rFonts w:cs="Cordia New (Cuerpo en alfabeto"/>
          <w:color w:val="BFBFBF" w:themeColor="background1" w:themeShade="BF"/>
          <w:sz w:val="16"/>
          <w:szCs w:val="16"/>
          <w:u w:val="none"/>
        </w:rPr>
        <w:t>comunicacion</w:t>
      </w:r>
      <w:r w:rsidRPr="00B64379">
        <w:rPr>
          <w:rStyle w:val="Hipervnculo"/>
          <w:color w:val="BFBFBF" w:themeColor="background1" w:themeShade="BF"/>
          <w:sz w:val="16"/>
          <w:szCs w:val="16"/>
          <w:u w:val="none"/>
        </w:rPr>
        <w:t>@redfarma.org</w:t>
      </w:r>
    </w:hyperlink>
    <w:r w:rsidRPr="00B64379">
      <w:rPr>
        <w:color w:val="BFBFBF" w:themeColor="background1" w:themeShade="BF"/>
        <w:sz w:val="16"/>
        <w:szCs w:val="16"/>
      </w:rPr>
      <w:t xml:space="preserve">  —  </w:t>
    </w:r>
    <w:hyperlink r:id="rId4" w:history="1">
      <w:r w:rsidR="00B64379" w:rsidRPr="00B64379">
        <w:rPr>
          <w:rStyle w:val="Hipervnculo"/>
          <w:sz w:val="16"/>
          <w:szCs w:val="16"/>
        </w:rPr>
        <w:t>www.farmacéuticos.com</w:t>
      </w:r>
    </w:hyperlink>
  </w:p>
  <w:p w14:paraId="448A6EAD" w14:textId="77777777" w:rsidR="006879BF" w:rsidRPr="006879BF" w:rsidRDefault="00193DCF" w:rsidP="00C73981">
    <w:pPr>
      <w:pStyle w:val="Piedepgina"/>
    </w:pPr>
    <w:r w:rsidRPr="00553856">
      <w:rPr>
        <w:noProof/>
        <w:lang w:eastAsia="es-ES"/>
      </w:rPr>
      <w:drawing>
        <wp:anchor distT="0" distB="0" distL="114300" distR="114300" simplePos="0" relativeHeight="251667456" behindDoc="0" locked="0" layoutInCell="1" allowOverlap="1" wp14:anchorId="2356DA05" wp14:editId="55F6BED7">
          <wp:simplePos x="0" y="0"/>
          <wp:positionH relativeFrom="column">
            <wp:posOffset>4240002</wp:posOffset>
          </wp:positionH>
          <wp:positionV relativeFrom="paragraph">
            <wp:posOffset>37862</wp:posOffset>
          </wp:positionV>
          <wp:extent cx="2348121" cy="437491"/>
          <wp:effectExtent l="0" t="0" r="1905" b="0"/>
          <wp:wrapNone/>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7700" w14:textId="574CB3D4" w:rsidR="00B64379" w:rsidRPr="006A38D8" w:rsidRDefault="005F4EC0" w:rsidP="00B64379">
    <w:pPr>
      <w:pStyle w:val="Piedepgina"/>
      <w:rPr>
        <w:color w:val="BFBFBF" w:themeColor="background1" w:themeShade="BF"/>
        <w:sz w:val="16"/>
        <w:szCs w:val="16"/>
      </w:rPr>
    </w:pPr>
    <w:r>
      <w:rPr>
        <w:noProof/>
      </w:rPr>
      <w:drawing>
        <wp:anchor distT="0" distB="0" distL="114300" distR="114300" simplePos="0" relativeHeight="251675648" behindDoc="1" locked="0" layoutInCell="1" allowOverlap="1" wp14:anchorId="49897162" wp14:editId="614427DA">
          <wp:simplePos x="0" y="0"/>
          <wp:positionH relativeFrom="column">
            <wp:posOffset>3757295</wp:posOffset>
          </wp:positionH>
          <wp:positionV relativeFrom="paragraph">
            <wp:posOffset>-437515</wp:posOffset>
          </wp:positionV>
          <wp:extent cx="2192400" cy="284400"/>
          <wp:effectExtent l="0" t="0" r="0" b="1905"/>
          <wp:wrapTight wrapText="bothSides">
            <wp:wrapPolygon edited="0">
              <wp:start x="0" y="0"/>
              <wp:lineTo x="0" y="20295"/>
              <wp:lineTo x="21400" y="20295"/>
              <wp:lineTo x="21400" y="0"/>
              <wp:lineTo x="0" y="0"/>
            </wp:wrapPolygon>
          </wp:wrapTight>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400" cy="284400"/>
                  </a:xfrm>
                  <a:prstGeom prst="rect">
                    <a:avLst/>
                  </a:prstGeom>
                </pic:spPr>
              </pic:pic>
            </a:graphicData>
          </a:graphic>
          <wp14:sizeRelH relativeFrom="margin">
            <wp14:pctWidth>0</wp14:pctWidth>
          </wp14:sizeRelH>
          <wp14:sizeRelV relativeFrom="margin">
            <wp14:pctHeight>0</wp14:pctHeight>
          </wp14:sizeRelV>
        </wp:anchor>
      </w:drawing>
    </w:r>
    <w:r w:rsidR="00B64379" w:rsidRPr="00B64379">
      <w:rPr>
        <w:noProof/>
      </w:rPr>
      <w:drawing>
        <wp:anchor distT="0" distB="0" distL="114300" distR="114300" simplePos="0" relativeHeight="251674624" behindDoc="0" locked="0" layoutInCell="1" allowOverlap="1" wp14:anchorId="1BE48879" wp14:editId="6D4EBE52">
          <wp:simplePos x="0" y="0"/>
          <wp:positionH relativeFrom="column">
            <wp:posOffset>0</wp:posOffset>
          </wp:positionH>
          <wp:positionV relativeFrom="paragraph">
            <wp:posOffset>-716280</wp:posOffset>
          </wp:positionV>
          <wp:extent cx="1944717" cy="589660"/>
          <wp:effectExtent l="0" t="0" r="0" b="0"/>
          <wp:wrapNone/>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2">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r w:rsidR="00B64379">
      <w:tab/>
    </w:r>
    <w:r w:rsidR="00B64379" w:rsidRPr="006A38D8">
      <w:rPr>
        <w:color w:val="BFBFBF" w:themeColor="background1" w:themeShade="BF"/>
        <w:sz w:val="16"/>
        <w:szCs w:val="16"/>
      </w:rPr>
      <w:t xml:space="preserve">91 431 25 60  —  </w:t>
    </w:r>
    <w:hyperlink r:id="rId3" w:history="1">
      <w:r w:rsidR="00B64379" w:rsidRPr="006A38D8">
        <w:rPr>
          <w:rStyle w:val="Hipervnculo"/>
          <w:rFonts w:cs="Cordia New (Cuerpo en alfabeto"/>
          <w:color w:val="BFBFBF" w:themeColor="background1" w:themeShade="BF"/>
          <w:sz w:val="16"/>
          <w:szCs w:val="16"/>
          <w:u w:val="none"/>
        </w:rPr>
        <w:t>comunicacion</w:t>
      </w:r>
      <w:r w:rsidR="00B64379" w:rsidRPr="006A38D8">
        <w:rPr>
          <w:rStyle w:val="Hipervnculo"/>
          <w:color w:val="BFBFBF" w:themeColor="background1" w:themeShade="BF"/>
          <w:sz w:val="16"/>
          <w:szCs w:val="16"/>
          <w:u w:val="none"/>
        </w:rPr>
        <w:t>@redfarma.org</w:t>
      </w:r>
    </w:hyperlink>
    <w:r w:rsidR="00B64379" w:rsidRPr="006A38D8">
      <w:rPr>
        <w:color w:val="BFBFBF" w:themeColor="background1" w:themeShade="BF"/>
        <w:sz w:val="16"/>
        <w:szCs w:val="16"/>
      </w:rPr>
      <w:t xml:space="preserve">  —  </w:t>
    </w:r>
    <w:hyperlink r:id="rId4" w:history="1">
      <w:r w:rsidR="00B64379" w:rsidRPr="00AA0622">
        <w:rPr>
          <w:rStyle w:val="Hipervnculo"/>
          <w:sz w:val="16"/>
          <w:szCs w:val="16"/>
        </w:rPr>
        <w:t>www.farmaceuticos.com</w:t>
      </w:r>
    </w:hyperlink>
  </w:p>
  <w:p w14:paraId="18025A24" w14:textId="02C802DC" w:rsidR="00B64379" w:rsidRDefault="00B64379" w:rsidP="00B64379">
    <w:pPr>
      <w:pStyle w:val="Piedepgina"/>
      <w:tabs>
        <w:tab w:val="left" w:pos="2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2D341" w14:textId="77777777" w:rsidR="001314AD" w:rsidRDefault="001314AD" w:rsidP="00C73981">
      <w:r>
        <w:separator/>
      </w:r>
    </w:p>
    <w:p w14:paraId="4DFF536F" w14:textId="77777777" w:rsidR="001314AD" w:rsidRDefault="001314AD" w:rsidP="00C73981"/>
    <w:p w14:paraId="5730959A" w14:textId="77777777" w:rsidR="001314AD" w:rsidRDefault="001314AD" w:rsidP="00C73981"/>
    <w:p w14:paraId="7DE80B56" w14:textId="77777777" w:rsidR="001314AD" w:rsidRDefault="001314AD" w:rsidP="00C73981"/>
  </w:footnote>
  <w:footnote w:type="continuationSeparator" w:id="0">
    <w:p w14:paraId="284286B9" w14:textId="77777777" w:rsidR="001314AD" w:rsidRDefault="001314AD" w:rsidP="00C73981">
      <w:r>
        <w:continuationSeparator/>
      </w:r>
    </w:p>
    <w:p w14:paraId="1B372434" w14:textId="77777777" w:rsidR="001314AD" w:rsidRDefault="001314AD" w:rsidP="00C73981"/>
    <w:p w14:paraId="2D748CD3" w14:textId="77777777" w:rsidR="001314AD" w:rsidRDefault="001314AD" w:rsidP="00C73981"/>
    <w:p w14:paraId="6B4B3B63" w14:textId="77777777" w:rsidR="001314AD" w:rsidRDefault="001314AD" w:rsidP="00C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CBEC" w14:textId="77777777" w:rsidR="00BB0979" w:rsidRDefault="00BB0979" w:rsidP="00C73981">
    <w:pPr>
      <w:pStyle w:val="Encabezado"/>
    </w:pPr>
  </w:p>
  <w:p w14:paraId="7F9C113F" w14:textId="77777777" w:rsidR="0073353C" w:rsidRDefault="0073353C"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CE50" w14:textId="77777777" w:rsidR="00BB0979" w:rsidRDefault="002F25DB" w:rsidP="00C73981">
    <w:pPr>
      <w:pStyle w:val="Encabezado"/>
    </w:pPr>
    <w:r w:rsidRPr="002F25DB">
      <w:rPr>
        <w:noProof/>
        <w:lang w:eastAsia="es-ES"/>
      </w:rPr>
      <w:drawing>
        <wp:anchor distT="0" distB="0" distL="114300" distR="114300" simplePos="0" relativeHeight="251668480" behindDoc="0" locked="0" layoutInCell="1" allowOverlap="1" wp14:anchorId="6EFF809F" wp14:editId="5AF64354">
          <wp:simplePos x="0" y="0"/>
          <wp:positionH relativeFrom="column">
            <wp:posOffset>-1049417</wp:posOffset>
          </wp:positionH>
          <wp:positionV relativeFrom="paragraph">
            <wp:posOffset>-610948</wp:posOffset>
          </wp:positionV>
          <wp:extent cx="2296900" cy="495656"/>
          <wp:effectExtent l="0" t="0" r="1905" b="0"/>
          <wp:wrapNone/>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506DB66B" w14:textId="77777777" w:rsidR="0073353C" w:rsidRDefault="0073353C" w:rsidP="00C73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CEEE" w14:textId="77777777" w:rsidR="005F4EC0" w:rsidRDefault="005F4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56913"/>
    <w:multiLevelType w:val="hybridMultilevel"/>
    <w:tmpl w:val="76484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7477C4"/>
    <w:multiLevelType w:val="hybridMultilevel"/>
    <w:tmpl w:val="31700CFA"/>
    <w:lvl w:ilvl="0" w:tplc="C07A92BC">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5646BF"/>
    <w:multiLevelType w:val="multilevel"/>
    <w:tmpl w:val="90687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5F15980"/>
    <w:multiLevelType w:val="hybridMultilevel"/>
    <w:tmpl w:val="AF56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1"/>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C6"/>
    <w:rsid w:val="0001295C"/>
    <w:rsid w:val="000129C4"/>
    <w:rsid w:val="00023B07"/>
    <w:rsid w:val="00046880"/>
    <w:rsid w:val="00050AD5"/>
    <w:rsid w:val="00062818"/>
    <w:rsid w:val="000628A2"/>
    <w:rsid w:val="00066866"/>
    <w:rsid w:val="000702FD"/>
    <w:rsid w:val="00070BB2"/>
    <w:rsid w:val="00075F52"/>
    <w:rsid w:val="000834E6"/>
    <w:rsid w:val="000834F5"/>
    <w:rsid w:val="000A4C0A"/>
    <w:rsid w:val="000B00B1"/>
    <w:rsid w:val="000C7A25"/>
    <w:rsid w:val="000D5A09"/>
    <w:rsid w:val="000E2EF7"/>
    <w:rsid w:val="000F306C"/>
    <w:rsid w:val="0010096F"/>
    <w:rsid w:val="001314AD"/>
    <w:rsid w:val="00133189"/>
    <w:rsid w:val="00136835"/>
    <w:rsid w:val="00142229"/>
    <w:rsid w:val="0015506E"/>
    <w:rsid w:val="0016516C"/>
    <w:rsid w:val="001660CC"/>
    <w:rsid w:val="00173DAF"/>
    <w:rsid w:val="00193DCF"/>
    <w:rsid w:val="001944C8"/>
    <w:rsid w:val="00196CF8"/>
    <w:rsid w:val="001A095C"/>
    <w:rsid w:val="001A2F98"/>
    <w:rsid w:val="001A528D"/>
    <w:rsid w:val="001B2E16"/>
    <w:rsid w:val="001B39D4"/>
    <w:rsid w:val="001C4DCA"/>
    <w:rsid w:val="001E6B10"/>
    <w:rsid w:val="00200B68"/>
    <w:rsid w:val="00232A66"/>
    <w:rsid w:val="00235B51"/>
    <w:rsid w:val="00240F84"/>
    <w:rsid w:val="0024170D"/>
    <w:rsid w:val="002749D9"/>
    <w:rsid w:val="002801EE"/>
    <w:rsid w:val="002833BC"/>
    <w:rsid w:val="002842F8"/>
    <w:rsid w:val="00287011"/>
    <w:rsid w:val="00295485"/>
    <w:rsid w:val="002959C7"/>
    <w:rsid w:val="002B23D1"/>
    <w:rsid w:val="002C645C"/>
    <w:rsid w:val="002D5797"/>
    <w:rsid w:val="002F25DB"/>
    <w:rsid w:val="0030338B"/>
    <w:rsid w:val="00303AF8"/>
    <w:rsid w:val="003400E5"/>
    <w:rsid w:val="00345436"/>
    <w:rsid w:val="00346567"/>
    <w:rsid w:val="00363D35"/>
    <w:rsid w:val="00372E9E"/>
    <w:rsid w:val="00374D51"/>
    <w:rsid w:val="00374E2F"/>
    <w:rsid w:val="0037649E"/>
    <w:rsid w:val="003819F9"/>
    <w:rsid w:val="00394FCE"/>
    <w:rsid w:val="003A6383"/>
    <w:rsid w:val="003A6E45"/>
    <w:rsid w:val="003A7986"/>
    <w:rsid w:val="003B3900"/>
    <w:rsid w:val="003B6A62"/>
    <w:rsid w:val="003D3D8E"/>
    <w:rsid w:val="003D5574"/>
    <w:rsid w:val="003F51FC"/>
    <w:rsid w:val="00400694"/>
    <w:rsid w:val="00404101"/>
    <w:rsid w:val="004106B5"/>
    <w:rsid w:val="004269CC"/>
    <w:rsid w:val="00450BE2"/>
    <w:rsid w:val="00454B59"/>
    <w:rsid w:val="00467769"/>
    <w:rsid w:val="00472816"/>
    <w:rsid w:val="0048083D"/>
    <w:rsid w:val="00487827"/>
    <w:rsid w:val="0049482A"/>
    <w:rsid w:val="00494AD5"/>
    <w:rsid w:val="004B2F06"/>
    <w:rsid w:val="004C333C"/>
    <w:rsid w:val="004C67D7"/>
    <w:rsid w:val="004F36F1"/>
    <w:rsid w:val="005037F9"/>
    <w:rsid w:val="00525E9C"/>
    <w:rsid w:val="00532F9D"/>
    <w:rsid w:val="00535362"/>
    <w:rsid w:val="005422B6"/>
    <w:rsid w:val="00542B1D"/>
    <w:rsid w:val="00547D20"/>
    <w:rsid w:val="0055044E"/>
    <w:rsid w:val="00555C7E"/>
    <w:rsid w:val="00563BF9"/>
    <w:rsid w:val="0056430C"/>
    <w:rsid w:val="00571046"/>
    <w:rsid w:val="005721DA"/>
    <w:rsid w:val="00594451"/>
    <w:rsid w:val="00594D6D"/>
    <w:rsid w:val="005955F6"/>
    <w:rsid w:val="005A3FCC"/>
    <w:rsid w:val="005C4CD1"/>
    <w:rsid w:val="005C4FDB"/>
    <w:rsid w:val="005D0E5E"/>
    <w:rsid w:val="005F3DAB"/>
    <w:rsid w:val="005F4EC0"/>
    <w:rsid w:val="00616E63"/>
    <w:rsid w:val="00617724"/>
    <w:rsid w:val="0062222C"/>
    <w:rsid w:val="00627DC2"/>
    <w:rsid w:val="0064174E"/>
    <w:rsid w:val="00654E5F"/>
    <w:rsid w:val="0067351A"/>
    <w:rsid w:val="00676557"/>
    <w:rsid w:val="006832D0"/>
    <w:rsid w:val="00686311"/>
    <w:rsid w:val="006879BF"/>
    <w:rsid w:val="006A074C"/>
    <w:rsid w:val="006A38D8"/>
    <w:rsid w:val="006A757B"/>
    <w:rsid w:val="006B4DAF"/>
    <w:rsid w:val="006B6265"/>
    <w:rsid w:val="006C319D"/>
    <w:rsid w:val="006C55DC"/>
    <w:rsid w:val="006C769D"/>
    <w:rsid w:val="006D0D59"/>
    <w:rsid w:val="006D4BCE"/>
    <w:rsid w:val="006D5BA0"/>
    <w:rsid w:val="006E03FC"/>
    <w:rsid w:val="006E0B8F"/>
    <w:rsid w:val="006F61AE"/>
    <w:rsid w:val="00704887"/>
    <w:rsid w:val="00704CE0"/>
    <w:rsid w:val="007050F5"/>
    <w:rsid w:val="0073084C"/>
    <w:rsid w:val="00731816"/>
    <w:rsid w:val="0073353C"/>
    <w:rsid w:val="00750C8B"/>
    <w:rsid w:val="00751A4A"/>
    <w:rsid w:val="00752F91"/>
    <w:rsid w:val="00764CD1"/>
    <w:rsid w:val="00766AC9"/>
    <w:rsid w:val="007839FC"/>
    <w:rsid w:val="007B3C78"/>
    <w:rsid w:val="007D278F"/>
    <w:rsid w:val="007D53D5"/>
    <w:rsid w:val="008048FC"/>
    <w:rsid w:val="00810A00"/>
    <w:rsid w:val="00820CE6"/>
    <w:rsid w:val="008416B1"/>
    <w:rsid w:val="00852384"/>
    <w:rsid w:val="00854E4A"/>
    <w:rsid w:val="008720AD"/>
    <w:rsid w:val="008775F4"/>
    <w:rsid w:val="00882D89"/>
    <w:rsid w:val="008B072B"/>
    <w:rsid w:val="008C0CA9"/>
    <w:rsid w:val="008C533C"/>
    <w:rsid w:val="008F0D83"/>
    <w:rsid w:val="009002DB"/>
    <w:rsid w:val="009411B9"/>
    <w:rsid w:val="00950261"/>
    <w:rsid w:val="00952743"/>
    <w:rsid w:val="0096031C"/>
    <w:rsid w:val="00967723"/>
    <w:rsid w:val="00972900"/>
    <w:rsid w:val="00995829"/>
    <w:rsid w:val="009960C5"/>
    <w:rsid w:val="009A14D3"/>
    <w:rsid w:val="009B6768"/>
    <w:rsid w:val="009C1606"/>
    <w:rsid w:val="009C1D16"/>
    <w:rsid w:val="009C55E6"/>
    <w:rsid w:val="009D1D85"/>
    <w:rsid w:val="009E29C0"/>
    <w:rsid w:val="009F094B"/>
    <w:rsid w:val="00A12282"/>
    <w:rsid w:val="00A13E49"/>
    <w:rsid w:val="00A23D2B"/>
    <w:rsid w:val="00A34EA5"/>
    <w:rsid w:val="00A36644"/>
    <w:rsid w:val="00A43D3A"/>
    <w:rsid w:val="00A60954"/>
    <w:rsid w:val="00A63FA2"/>
    <w:rsid w:val="00A66806"/>
    <w:rsid w:val="00A677A6"/>
    <w:rsid w:val="00A813A7"/>
    <w:rsid w:val="00A8433F"/>
    <w:rsid w:val="00A84A3F"/>
    <w:rsid w:val="00A87F64"/>
    <w:rsid w:val="00AA6C08"/>
    <w:rsid w:val="00AA7EEF"/>
    <w:rsid w:val="00AC457E"/>
    <w:rsid w:val="00AD2D01"/>
    <w:rsid w:val="00AE365F"/>
    <w:rsid w:val="00AF0D36"/>
    <w:rsid w:val="00AF5C91"/>
    <w:rsid w:val="00B014AA"/>
    <w:rsid w:val="00B050FA"/>
    <w:rsid w:val="00B147A4"/>
    <w:rsid w:val="00B23214"/>
    <w:rsid w:val="00B23CB0"/>
    <w:rsid w:val="00B30B82"/>
    <w:rsid w:val="00B435A5"/>
    <w:rsid w:val="00B451A1"/>
    <w:rsid w:val="00B63CBA"/>
    <w:rsid w:val="00B64379"/>
    <w:rsid w:val="00B661CE"/>
    <w:rsid w:val="00B7539C"/>
    <w:rsid w:val="00B808D2"/>
    <w:rsid w:val="00B8388A"/>
    <w:rsid w:val="00B90BA5"/>
    <w:rsid w:val="00B94993"/>
    <w:rsid w:val="00B96880"/>
    <w:rsid w:val="00BA26DA"/>
    <w:rsid w:val="00BA5DF8"/>
    <w:rsid w:val="00BB0979"/>
    <w:rsid w:val="00BC2F9D"/>
    <w:rsid w:val="00BC3B29"/>
    <w:rsid w:val="00BC79BF"/>
    <w:rsid w:val="00BD293D"/>
    <w:rsid w:val="00BE7C8D"/>
    <w:rsid w:val="00C003DA"/>
    <w:rsid w:val="00C06540"/>
    <w:rsid w:val="00C06FFA"/>
    <w:rsid w:val="00C11D09"/>
    <w:rsid w:val="00C27F01"/>
    <w:rsid w:val="00C43444"/>
    <w:rsid w:val="00C500E7"/>
    <w:rsid w:val="00C5056D"/>
    <w:rsid w:val="00C55178"/>
    <w:rsid w:val="00C63174"/>
    <w:rsid w:val="00C63F7B"/>
    <w:rsid w:val="00C65ECB"/>
    <w:rsid w:val="00C73981"/>
    <w:rsid w:val="00C900F6"/>
    <w:rsid w:val="00CA4EC1"/>
    <w:rsid w:val="00CB234A"/>
    <w:rsid w:val="00CC49AA"/>
    <w:rsid w:val="00CD4049"/>
    <w:rsid w:val="00CD441F"/>
    <w:rsid w:val="00CE1180"/>
    <w:rsid w:val="00CE5140"/>
    <w:rsid w:val="00D003AB"/>
    <w:rsid w:val="00D047A4"/>
    <w:rsid w:val="00D218F5"/>
    <w:rsid w:val="00D26C15"/>
    <w:rsid w:val="00D27CAD"/>
    <w:rsid w:val="00D33FC0"/>
    <w:rsid w:val="00D346DC"/>
    <w:rsid w:val="00D46214"/>
    <w:rsid w:val="00D5199D"/>
    <w:rsid w:val="00D5748D"/>
    <w:rsid w:val="00D66428"/>
    <w:rsid w:val="00D706C3"/>
    <w:rsid w:val="00D706C6"/>
    <w:rsid w:val="00D73E16"/>
    <w:rsid w:val="00D76063"/>
    <w:rsid w:val="00D8328C"/>
    <w:rsid w:val="00D97600"/>
    <w:rsid w:val="00DA0E31"/>
    <w:rsid w:val="00DB0280"/>
    <w:rsid w:val="00DB6B42"/>
    <w:rsid w:val="00DE0867"/>
    <w:rsid w:val="00DE454A"/>
    <w:rsid w:val="00DE6A2B"/>
    <w:rsid w:val="00DF56C6"/>
    <w:rsid w:val="00E015AF"/>
    <w:rsid w:val="00E118F5"/>
    <w:rsid w:val="00E205EC"/>
    <w:rsid w:val="00E26215"/>
    <w:rsid w:val="00E3702E"/>
    <w:rsid w:val="00E40D9A"/>
    <w:rsid w:val="00E44A2E"/>
    <w:rsid w:val="00E460F4"/>
    <w:rsid w:val="00E579FC"/>
    <w:rsid w:val="00E77AAA"/>
    <w:rsid w:val="00E83945"/>
    <w:rsid w:val="00E876B7"/>
    <w:rsid w:val="00EB3CE1"/>
    <w:rsid w:val="00EC2B94"/>
    <w:rsid w:val="00ED1147"/>
    <w:rsid w:val="00ED499A"/>
    <w:rsid w:val="00ED53D0"/>
    <w:rsid w:val="00EE303C"/>
    <w:rsid w:val="00EF74E3"/>
    <w:rsid w:val="00F02EF4"/>
    <w:rsid w:val="00F074A0"/>
    <w:rsid w:val="00F11E45"/>
    <w:rsid w:val="00F140CF"/>
    <w:rsid w:val="00F157D3"/>
    <w:rsid w:val="00F216FF"/>
    <w:rsid w:val="00F2344A"/>
    <w:rsid w:val="00F25F51"/>
    <w:rsid w:val="00F56802"/>
    <w:rsid w:val="00F71A22"/>
    <w:rsid w:val="00F97BF9"/>
    <w:rsid w:val="00FA1018"/>
    <w:rsid w:val="00FC28F3"/>
    <w:rsid w:val="00FC6ED7"/>
    <w:rsid w:val="00FD62D2"/>
    <w:rsid w:val="00FD670B"/>
    <w:rsid w:val="00FF22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713"/>
  <w15:chartTrackingRefBased/>
  <w15:docId w15:val="{5D0D7061-C3E2-1C4A-9E4B-A773C90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14:textFill>
        <w14:solidFill>
          <w14:schemeClr w14:val="tx1">
            <w14:lumMod w14:val="75000"/>
            <w14:lumOff w14:val="25000"/>
            <w14:lumMod w14:val="65000"/>
            <w14:lumOff w14:val="35000"/>
          </w14:schemeClr>
        </w14:solidFill>
      </w14:textFill>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14:textFill>
        <w14:solidFill>
          <w14:schemeClr w14:val="tx1">
            <w14:lumMod w14:val="75000"/>
            <w14:lumOff w14:val="25000"/>
            <w14:lumMod w14:val="65000"/>
            <w14:lumOff w14:val="35000"/>
          </w14:schemeClr>
        </w14:solidFill>
      </w14:textFill>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14:textFill>
        <w14:solidFill>
          <w14:schemeClr w14:val="tx1">
            <w14:lumMod w14:val="75000"/>
            <w14:lumOff w14:val="25000"/>
            <w14:lumMod w14:val="65000"/>
            <w14:lumOff w14:val="35000"/>
          </w14:schemeClr>
        </w14:solidFill>
      </w14:textFill>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14:textFill>
        <w14:solidFill>
          <w14:schemeClr w14:val="tx1">
            <w14:lumMod w14:val="75000"/>
            <w14:lumOff w14:val="25000"/>
            <w14:lumMod w14:val="65000"/>
            <w14:lumOff w14:val="35000"/>
          </w14:schemeClr>
        </w14:solidFill>
      </w14:textFill>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14:textFill>
        <w14:solidFill>
          <w14:schemeClr w14:val="tx1">
            <w14:lumMod w14:val="50000"/>
            <w14:lumOff w14:val="50000"/>
            <w14:lumMod w14:val="65000"/>
            <w14:lumOff w14:val="35000"/>
          </w14:schemeClr>
        </w14:solidFill>
      </w14:textFill>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Textodeglobo">
    <w:name w:val="Balloon Text"/>
    <w:basedOn w:val="Normal"/>
    <w:link w:val="TextodegloboCar"/>
    <w:uiPriority w:val="99"/>
    <w:semiHidden/>
    <w:unhideWhenUsed/>
    <w:rsid w:val="00AD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D01"/>
    <w:rPr>
      <w:rFonts w:ascii="Segoe UI" w:hAnsi="Segoe UI" w:cs="Segoe UI"/>
      <w:sz w:val="18"/>
      <w:szCs w:val="18"/>
      <w:lang w:val="es-ES"/>
    </w:rPr>
  </w:style>
  <w:style w:type="paragraph" w:styleId="NormalWeb">
    <w:name w:val="Normal (Web)"/>
    <w:basedOn w:val="Normal"/>
    <w:uiPriority w:val="99"/>
    <w:semiHidden/>
    <w:unhideWhenUsed/>
    <w:rsid w:val="00CA4EC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Mencinsinresolver">
    <w:name w:val="Unresolved Mention"/>
    <w:basedOn w:val="Fuentedeprrafopredeter"/>
    <w:uiPriority w:val="99"/>
    <w:semiHidden/>
    <w:unhideWhenUsed/>
    <w:rsid w:val="00404101"/>
    <w:rPr>
      <w:color w:val="605E5C"/>
      <w:shd w:val="clear" w:color="auto" w:fill="E1DFDD"/>
    </w:rPr>
  </w:style>
  <w:style w:type="character" w:styleId="Refdecomentario">
    <w:name w:val="annotation reference"/>
    <w:basedOn w:val="Fuentedeprrafopredeter"/>
    <w:uiPriority w:val="99"/>
    <w:semiHidden/>
    <w:unhideWhenUsed/>
    <w:rsid w:val="006D4BCE"/>
    <w:rPr>
      <w:sz w:val="16"/>
      <w:szCs w:val="16"/>
    </w:rPr>
  </w:style>
  <w:style w:type="paragraph" w:styleId="Textocomentario">
    <w:name w:val="annotation text"/>
    <w:basedOn w:val="Normal"/>
    <w:link w:val="TextocomentarioCar"/>
    <w:uiPriority w:val="99"/>
    <w:semiHidden/>
    <w:unhideWhenUsed/>
    <w:rsid w:val="006D4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BCE"/>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D4BCE"/>
    <w:rPr>
      <w:b/>
      <w:bCs/>
    </w:rPr>
  </w:style>
  <w:style w:type="character" w:customStyle="1" w:styleId="AsuntodelcomentarioCar">
    <w:name w:val="Asunto del comentario Car"/>
    <w:basedOn w:val="TextocomentarioCar"/>
    <w:link w:val="Asuntodelcomentario"/>
    <w:uiPriority w:val="99"/>
    <w:semiHidden/>
    <w:rsid w:val="006D4BCE"/>
    <w:rPr>
      <w:rFonts w:ascii="Arial" w:hAnsi="Arial" w:cs="Arial"/>
      <w:b/>
      <w:bCs/>
      <w:sz w:val="20"/>
      <w:szCs w:val="20"/>
      <w:lang w:val="es-ES"/>
    </w:rPr>
  </w:style>
  <w:style w:type="paragraph" w:styleId="Revisin">
    <w:name w:val="Revision"/>
    <w:hidden/>
    <w:uiPriority w:val="99"/>
    <w:semiHidden/>
    <w:rsid w:val="00D047A4"/>
    <w:pPr>
      <w:spacing w:after="0" w:line="240" w:lineRule="auto"/>
    </w:pPr>
    <w:rPr>
      <w:rFonts w:ascii="Arial" w:hAnsi="Arial" w:cs="Arial"/>
      <w:sz w:val="22"/>
      <w:szCs w:val="22"/>
      <w:lang w:val="es-ES"/>
    </w:rPr>
  </w:style>
  <w:style w:type="paragraph" w:styleId="Prrafodelista">
    <w:name w:val="List Paragraph"/>
    <w:basedOn w:val="Normal"/>
    <w:uiPriority w:val="34"/>
    <w:unhideWhenUsed/>
    <w:qFormat/>
    <w:rsid w:val="00820CE6"/>
    <w:pPr>
      <w:ind w:left="720"/>
      <w:contextualSpacing/>
    </w:pPr>
  </w:style>
  <w:style w:type="paragraph" w:styleId="Textosinformato">
    <w:name w:val="Plain Text"/>
    <w:basedOn w:val="Normal"/>
    <w:link w:val="TextosinformatoCar"/>
    <w:uiPriority w:val="99"/>
    <w:unhideWhenUsed/>
    <w:rsid w:val="00686311"/>
    <w:pPr>
      <w:spacing w:after="0" w:line="240" w:lineRule="auto"/>
    </w:pPr>
    <w:rPr>
      <w:rFonts w:ascii="Calibri" w:hAnsi="Calibri" w:cs="Calibri"/>
      <w:color w:val="auto"/>
      <w:lang w:eastAsia="en-US"/>
    </w:rPr>
  </w:style>
  <w:style w:type="character" w:customStyle="1" w:styleId="TextosinformatoCar">
    <w:name w:val="Texto sin formato Car"/>
    <w:basedOn w:val="Fuentedeprrafopredeter"/>
    <w:link w:val="Textosinformato"/>
    <w:uiPriority w:val="99"/>
    <w:rsid w:val="00686311"/>
    <w:rPr>
      <w:rFonts w:ascii="Calibri" w:hAnsi="Calibri" w:cs="Calibri"/>
      <w:color w:val="auto"/>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944085">
      <w:bodyDiv w:val="1"/>
      <w:marLeft w:val="0"/>
      <w:marRight w:val="0"/>
      <w:marTop w:val="0"/>
      <w:marBottom w:val="0"/>
      <w:divBdr>
        <w:top w:val="none" w:sz="0" w:space="0" w:color="auto"/>
        <w:left w:val="none" w:sz="0" w:space="0" w:color="auto"/>
        <w:bottom w:val="none" w:sz="0" w:space="0" w:color="auto"/>
        <w:right w:val="none" w:sz="0" w:space="0" w:color="auto"/>
      </w:divBdr>
    </w:div>
    <w:div w:id="520313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4958">
          <w:marLeft w:val="0"/>
          <w:marRight w:val="0"/>
          <w:marTop w:val="0"/>
          <w:marBottom w:val="0"/>
          <w:divBdr>
            <w:top w:val="none" w:sz="0" w:space="0" w:color="auto"/>
            <w:left w:val="none" w:sz="0" w:space="0" w:color="auto"/>
            <w:bottom w:val="none" w:sz="0" w:space="0" w:color="auto"/>
            <w:right w:val="none" w:sz="0" w:space="0" w:color="auto"/>
          </w:divBdr>
        </w:div>
      </w:divsChild>
    </w:div>
    <w:div w:id="5663040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543">
          <w:marLeft w:val="0"/>
          <w:marRight w:val="0"/>
          <w:marTop w:val="0"/>
          <w:marBottom w:val="0"/>
          <w:divBdr>
            <w:top w:val="none" w:sz="0" w:space="0" w:color="auto"/>
            <w:left w:val="none" w:sz="0" w:space="0" w:color="auto"/>
            <w:bottom w:val="none" w:sz="0" w:space="0" w:color="auto"/>
            <w:right w:val="none" w:sz="0" w:space="0" w:color="auto"/>
          </w:divBdr>
        </w:div>
      </w:divsChild>
    </w:div>
    <w:div w:id="740058962">
      <w:bodyDiv w:val="1"/>
      <w:marLeft w:val="0"/>
      <w:marRight w:val="0"/>
      <w:marTop w:val="0"/>
      <w:marBottom w:val="0"/>
      <w:divBdr>
        <w:top w:val="none" w:sz="0" w:space="0" w:color="auto"/>
        <w:left w:val="none" w:sz="0" w:space="0" w:color="auto"/>
        <w:bottom w:val="none" w:sz="0" w:space="0" w:color="auto"/>
        <w:right w:val="none" w:sz="0" w:space="0" w:color="auto"/>
      </w:divBdr>
    </w:div>
    <w:div w:id="908033900">
      <w:bodyDiv w:val="1"/>
      <w:marLeft w:val="0"/>
      <w:marRight w:val="0"/>
      <w:marTop w:val="0"/>
      <w:marBottom w:val="0"/>
      <w:divBdr>
        <w:top w:val="none" w:sz="0" w:space="0" w:color="auto"/>
        <w:left w:val="none" w:sz="0" w:space="0" w:color="auto"/>
        <w:bottom w:val="none" w:sz="0" w:space="0" w:color="auto"/>
        <w:right w:val="none" w:sz="0" w:space="0" w:color="auto"/>
      </w:divBdr>
    </w:div>
    <w:div w:id="909654939">
      <w:bodyDiv w:val="1"/>
      <w:marLeft w:val="0"/>
      <w:marRight w:val="0"/>
      <w:marTop w:val="0"/>
      <w:marBottom w:val="0"/>
      <w:divBdr>
        <w:top w:val="none" w:sz="0" w:space="0" w:color="auto"/>
        <w:left w:val="none" w:sz="0" w:space="0" w:color="auto"/>
        <w:bottom w:val="none" w:sz="0" w:space="0" w:color="auto"/>
        <w:right w:val="none" w:sz="0" w:space="0" w:color="auto"/>
      </w:divBdr>
    </w:div>
    <w:div w:id="1113012410">
      <w:bodyDiv w:val="1"/>
      <w:marLeft w:val="0"/>
      <w:marRight w:val="0"/>
      <w:marTop w:val="0"/>
      <w:marBottom w:val="0"/>
      <w:divBdr>
        <w:top w:val="none" w:sz="0" w:space="0" w:color="auto"/>
        <w:left w:val="none" w:sz="0" w:space="0" w:color="auto"/>
        <w:bottom w:val="none" w:sz="0" w:space="0" w:color="auto"/>
        <w:right w:val="none" w:sz="0" w:space="0" w:color="auto"/>
      </w:divBdr>
    </w:div>
    <w:div w:id="1321737154">
      <w:bodyDiv w:val="1"/>
      <w:marLeft w:val="0"/>
      <w:marRight w:val="0"/>
      <w:marTop w:val="0"/>
      <w:marBottom w:val="0"/>
      <w:divBdr>
        <w:top w:val="none" w:sz="0" w:space="0" w:color="auto"/>
        <w:left w:val="none" w:sz="0" w:space="0" w:color="auto"/>
        <w:bottom w:val="none" w:sz="0" w:space="0" w:color="auto"/>
        <w:right w:val="none" w:sz="0" w:space="0" w:color="auto"/>
      </w:divBdr>
    </w:div>
    <w:div w:id="1563103149">
      <w:bodyDiv w:val="1"/>
      <w:marLeft w:val="0"/>
      <w:marRight w:val="0"/>
      <w:marTop w:val="0"/>
      <w:marBottom w:val="0"/>
      <w:divBdr>
        <w:top w:val="none" w:sz="0" w:space="0" w:color="auto"/>
        <w:left w:val="none" w:sz="0" w:space="0" w:color="auto"/>
        <w:bottom w:val="none" w:sz="0" w:space="0" w:color="auto"/>
        <w:right w:val="none" w:sz="0" w:space="0" w:color="auto"/>
      </w:divBdr>
    </w:div>
    <w:div w:id="1612123953">
      <w:bodyDiv w:val="1"/>
      <w:marLeft w:val="0"/>
      <w:marRight w:val="0"/>
      <w:marTop w:val="0"/>
      <w:marBottom w:val="0"/>
      <w:divBdr>
        <w:top w:val="none" w:sz="0" w:space="0" w:color="auto"/>
        <w:left w:val="none" w:sz="0" w:space="0" w:color="auto"/>
        <w:bottom w:val="none" w:sz="0" w:space="0" w:color="auto"/>
        <w:right w:val="none" w:sz="0" w:space="0" w:color="auto"/>
      </w:divBdr>
    </w:div>
    <w:div w:id="18401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seville2022.fip.org/" TargetMode="External" /><Relationship Id="rId14" Type="http://schemas.openxmlformats.org/officeDocument/2006/relationships/header" Target="header3.xml" /></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redfarma.org" TargetMode="External" /><Relationship Id="rId2" Type="http://schemas.openxmlformats.org/officeDocument/2006/relationships/image" Target="media/image4.png" /><Relationship Id="rId1" Type="http://schemas.openxmlformats.org/officeDocument/2006/relationships/image" Target="media/image3.emf" /><Relationship Id="rId5" Type="http://schemas.openxmlformats.org/officeDocument/2006/relationships/image" Target="media/image5.emf" /><Relationship Id="rId4" Type="http://schemas.openxmlformats.org/officeDocument/2006/relationships/hyperlink" Target="http://www.farmac&#233;uticos.com" TargetMode="External" /></Relationships>
</file>

<file path=word/_rels/footer3.xml.rels><?xml version="1.0" encoding="UTF-8" standalone="yes"?>
<Relationships xmlns="http://schemas.openxmlformats.org/package/2006/relationships"><Relationship Id="rId3" Type="http://schemas.openxmlformats.org/officeDocument/2006/relationships/hyperlink" Target="mailto:comunicacion@redfarma.org" TargetMode="External" /><Relationship Id="rId2" Type="http://schemas.openxmlformats.org/officeDocument/2006/relationships/image" Target="media/image3.emf" /><Relationship Id="rId1" Type="http://schemas.openxmlformats.org/officeDocument/2006/relationships/image" Target="media/image6.jpg" /><Relationship Id="rId4" Type="http://schemas.openxmlformats.org/officeDocument/2006/relationships/hyperlink" Target="http://www.farmaceuticos.com"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F48-ED1A-4473-A82D-B4F62F6094E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3879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pedroclavermartin@gmail.com</cp:lastModifiedBy>
  <cp:revision>2</cp:revision>
  <cp:lastPrinted>2022-07-14T11:41:00Z</cp:lastPrinted>
  <dcterms:created xsi:type="dcterms:W3CDTF">2022-09-18T13:39:00Z</dcterms:created>
  <dcterms:modified xsi:type="dcterms:W3CDTF">2022-09-18T13:39:00Z</dcterms:modified>
</cp:coreProperties>
</file>