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ind w:left="720" w:hanging="720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LAGOH RE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pt-PT"/>
        </w:rPr>
        <w:t>NE A M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S DE 7.000 PARTICIPANTES DURANTE LA SEMANA DE SU ANIVERSARIO Y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ANUNCIA NUEVOS AVANCES EN SEGURIDAD, NEGOCIO ONLINE Y SOSTENIBILIDAD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outline w:val="0"/>
          <w:color w:val="222222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"En la armonizaci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del negocio online y offline residir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tanto nuestra capacidad de 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xito como la del propio sector retail andaluz y espa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ol en esta nueva etapa", explica el gerente de Lagoh, Carlos Fita.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outline w:val="0"/>
          <w:color w:val="222222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Lagoh garantiza protocolos de seguridad e higiene por encima de los exigidos en la normativa vigente.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Sevilla, 6 de octubre de 2020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.- Lagoh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complejo comercial y de ocio, buque insignia de Lar Espa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Real State, ha iniciado en el presente mes de octubre una nueva etapa tras finalizar el programa de actos conmemorativos de su primer aniversario, en el que han participado m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 7.000 personas durante la pasada semana. El complejo comercial y de ocio, uno de los mayores de Espa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a, centrar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su gesti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la realizaci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un nuevo salto cualitativo, basado en nuevos desarrollos en seguridad, una mayor integraci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con el canal de negocio online y un mayor fortalecimiento de su compromiso con la sostenibilidad.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Lagoh ha adaptado e interpretado los nuevos h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bitos de consumo digital potenciados por la pandemia actual, "por lo que estamos optimizando toda nuestra atenci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presencial al cliente, integr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ndola en el canal online. En esa armonizaci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residir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tanto nuestra capacidad de 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xito como la del propio sector retail andaluz y espa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ol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explica el gerente de Lagoh, Carlos Fita.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seguridad, objetivo primordial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Respecto a estos objetivos estrat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gicos, el gerente de Lagoh destaca, sobre todos ellos, el de la seguridad. "A trav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de servicios de contenido informativo para nuestras pantallas gigantes y directorios digitales. Todo ello bajo la premisa de seguir ofreciendo siempre la mejor experiencia a nuestros visitantes". 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Desde la reapertura del complejo tras el estado de alarma, Lagoh garantiza protocolos de seguridad e higiene "por encima de los exigidos por la normativa vigente", tales como control de aforo en tiempo real, m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dulos higienizantes, comunicaci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vertical y horizontal de cumplimiento de distancia de seguridad, refuerzos de seguridad y limpieza, incremento de las frecuencias de desinfecci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la disposici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 de c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digos QR con toda la informaci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sobre la normativa vigente y las medidas adoptadas por Lagoh.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resultado, desde el 25 de mayo, fecha de la reapertura total, Lagoh ha alcanzado casi 2 millones de visitas durante los meses estivales, "lo que refleja que hemos conseguido  transmitir a nuestros clientes que Lagoh es un centro comercial seguro para visitar, realizar compras y disfrutar del ocio y restauraci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n". "Agradecemos nuevamente la respuesta de todas y cada una de las personas que nos han visitado, as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a nuestros operadores, por el estricto cumplimiento de las medidas higi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nico-sanitarias; sin ellos, alcanzar esa cifra hubiera sido imposible".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Lagoh es actualmente el activo m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importante y representativo de Lar Espa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a, debido al prestigio de sus operadores, la apuesta por la tecnolog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la sostenibilidad, la arquitectura y el dise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 del propio complejo; "todos estos factores son nuestras principales fortalezas y ventajas competitivas frente a nuestros competidores</w:t>
      </w:r>
      <w:r>
        <w:rPr>
          <w:rStyle w:val="Ninguno"/>
          <w:rFonts w:ascii="Helvetica Neue" w:hAnsi="Helvetica Neue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Helvetica Neue" w:hAnsi="Helvetica Neue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inguno"/>
          <w:rFonts w:ascii="Helvetica Neue" w:cs="Helvetica Neue" w:hAnsi="Helvetica Neue" w:eastAsia="Helvetica Neue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Sobre Lagoh: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inguno"/>
          <w:rFonts w:ascii="Helvetica Neue" w:cs="Helvetica Neue" w:hAnsi="Helvetica Neue" w:eastAsia="Helvetica Neue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Lagoh Sevilla, el activo de Lar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gestionado por Grupo Lar a trav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de Gentalia, es el primer </w:t>
      </w:r>
      <w:r>
        <w:rPr>
          <w:rStyle w:val="Ninguno"/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Complejo Comercial y de Ocio Familiar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 Sus m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 70.000 m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² 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acogen locales comerciales, actividades de ocio, restauraci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terrazas de los principales operadores locales, nacionales e internacionales.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hAnsi="Helvetica Neu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Sobre Lar Espa</w:t>
      </w:r>
      <w:r>
        <w:rPr>
          <w:rStyle w:val="Ninguno"/>
          <w:rFonts w:ascii="Helvetica Neue" w:hAnsi="Helvetica Neue" w:hint="default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y Grupo Lar: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inguno"/>
          <w:rFonts w:ascii="Helvetica Neue" w:cs="Helvetica Neue" w:hAnsi="Helvetica Neue" w:eastAsia="Helvetica Neue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Lar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Real Estate fue la primera Socimi en cotizar en el Mercado Continuo. 5 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despu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se ha convertido en el l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der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 en Centros y Parques Comerciales, con activos por valor de 1.500 millones de euros y cerca de 600.000 metros cuadrados de GLA, a la que aplica una estrategia multicanal y de experiencia al cliente con unos altos est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ndares en materia social, medioambiental y de gobierno corporativo. Su fuerte balance y sus resultados operativos hacen de Lar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una oferta 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para sus comerciantes, marcas y visitantes.Grupo Lar, con 50 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de actividad en el sector inmobiliario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ol, gestiona los activos de Lar Espa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a. Desde sus inicios, se ha encargado de la concepci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n, dise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y ejecuci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proyecto Lagoh en todas sus fases de construcci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comercializaci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posteriormente se encargar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su gesti</w:t>
      </w:r>
      <w:r>
        <w:rPr>
          <w:rStyle w:val="Ninguno"/>
          <w:rFonts w:ascii="Helvetica Neue" w:hAnsi="Helvetica Neu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inguno"/>
          <w:rFonts w:ascii="Helvetica Neue" w:cs="Helvetica Neue" w:hAnsi="Helvetica Neue" w:eastAsia="Helvetica Neue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Style w:val="Ninguno"/>
          <w:rFonts w:ascii="Calibri" w:cs="Calibri" w:hAnsi="Calibri" w:eastAsia="Calibri"/>
          <w:outline w:val="0"/>
          <w:color w:val="7f7f7f"/>
          <w:sz w:val="16"/>
          <w:szCs w:val="16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7f7f7f"/>
          <w:sz w:val="16"/>
          <w:szCs w:val="16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Contacto de comunicaci</w:t>
      </w:r>
      <w:r>
        <w:rPr>
          <w:rStyle w:val="Ninguno"/>
          <w:rFonts w:ascii="Arial" w:hAnsi="Arial" w:hint="default"/>
          <w:b w:val="1"/>
          <w:bCs w:val="1"/>
          <w:outline w:val="0"/>
          <w:color w:val="7f7f7f"/>
          <w:sz w:val="16"/>
          <w:szCs w:val="16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7f7f7f"/>
          <w:sz w:val="16"/>
          <w:szCs w:val="16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 xml:space="preserve">n: </w:t>
      </w:r>
      <w:r>
        <w:rPr>
          <w:rStyle w:val="Ninguno"/>
          <w:rFonts w:ascii="Calibri" w:hAnsi="Calibri"/>
          <w:outline w:val="0"/>
          <w:color w:val="7f7f7f"/>
          <w:sz w:val="16"/>
          <w:szCs w:val="16"/>
          <w:u w:color="7f7f7f"/>
          <w:rtl w:val="0"/>
          <w14:textFill>
            <w14:solidFill>
              <w14:srgbClr w14:val="7F7F7F"/>
            </w14:solidFill>
          </w14:textFill>
        </w:rPr>
        <w:t>Pilar Mena / Jos</w:t>
      </w:r>
      <w:r>
        <w:rPr>
          <w:rStyle w:val="Ninguno"/>
          <w:rFonts w:ascii="Calibri" w:hAnsi="Calibri" w:hint="default"/>
          <w:outline w:val="0"/>
          <w:color w:val="7f7f7f"/>
          <w:sz w:val="16"/>
          <w:szCs w:val="16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 xml:space="preserve">é </w:t>
      </w:r>
      <w:r>
        <w:rPr>
          <w:rStyle w:val="Ninguno"/>
          <w:rFonts w:ascii="Calibri" w:hAnsi="Calibri"/>
          <w:outline w:val="0"/>
          <w:color w:val="7f7f7f"/>
          <w:sz w:val="16"/>
          <w:szCs w:val="16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 xml:space="preserve">Manuel Caro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"mailto:pmena@euromediagrupo.es"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pmena@euromediagrupo.es</w:t>
      </w:r>
      <w:r>
        <w:rPr/>
        <w:fldChar w:fldCharType="end" w:fldLock="0"/>
      </w:r>
      <w:r>
        <w:rPr>
          <w:rStyle w:val="Ninguno"/>
          <w:rFonts w:ascii="Calibri" w:hAnsi="Calibri"/>
          <w:outline w:val="0"/>
          <w:color w:val="7f7f7f"/>
          <w:sz w:val="16"/>
          <w:szCs w:val="16"/>
          <w:u w:color="7f7f7f"/>
          <w:rtl w:val="0"/>
          <w14:textFill>
            <w14:solidFill>
              <w14:srgbClr w14:val="7F7F7F"/>
            </w14:solidFill>
          </w14:textFill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"mailto:jcaro@euromediagrupo.es"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jcaro@euromediagrupo.es</w:t>
      </w:r>
      <w:r>
        <w:rPr/>
        <w:fldChar w:fldCharType="end" w:fldLock="0"/>
      </w:r>
      <w:r>
        <w:rPr>
          <w:rStyle w:val="Ninguno"/>
          <w:rFonts w:ascii="Calibri" w:hAnsi="Calibri"/>
          <w:outline w:val="0"/>
          <w:color w:val="7f7f7f"/>
          <w:sz w:val="16"/>
          <w:szCs w:val="16"/>
          <w:u w:color="7f7f7f"/>
          <w:rtl w:val="0"/>
          <w14:textFill>
            <w14:solidFill>
              <w14:srgbClr w14:val="7F7F7F"/>
            </w14:solidFill>
          </w14:textFill>
        </w:rPr>
        <w:t xml:space="preserve">   </w:t>
      </w:r>
      <w:r>
        <w:rPr>
          <w:rStyle w:val="Ninguno"/>
          <w:rFonts w:ascii="Arial" w:hAnsi="Arial"/>
          <w:outline w:val="0"/>
          <w:color w:val="666666"/>
          <w:sz w:val="16"/>
          <w:szCs w:val="16"/>
          <w:u w:color="666666"/>
          <w:rtl w:val="0"/>
          <w14:textFill>
            <w14:solidFill>
              <w14:srgbClr w14:val="666666"/>
            </w14:solidFill>
          </w14:textFill>
        </w:rPr>
        <w:t xml:space="preserve">630133977 </w:t>
      </w:r>
      <w:r>
        <w:rPr>
          <w:rStyle w:val="Ninguno"/>
          <w:rFonts w:ascii="Arial" w:hAnsi="Arial" w:hint="default"/>
          <w:outline w:val="0"/>
          <w:color w:val="666666"/>
          <w:sz w:val="16"/>
          <w:szCs w:val="1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 xml:space="preserve">– </w:t>
      </w:r>
      <w:r>
        <w:rPr>
          <w:rStyle w:val="Ninguno"/>
          <w:rFonts w:ascii="Arial" w:hAnsi="Arial"/>
          <w:outline w:val="0"/>
          <w:color w:val="666666"/>
          <w:sz w:val="16"/>
          <w:szCs w:val="16"/>
          <w:u w:color="666666"/>
          <w:rtl w:val="0"/>
          <w14:textFill>
            <w14:solidFill>
              <w14:srgbClr w14:val="666666"/>
            </w14:solidFill>
          </w14:textFill>
        </w:rPr>
        <w:t>677732025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Helvetica Neue" w:hAnsi="Helvetica Neue"/>
        <w:outline w:val="0"/>
        <w:color w:val="000000"/>
        <w:u w:color="000000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865630" cy="90233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902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outline w:val="0"/>
      <w:color w:val="0563c1"/>
      <w:sz w:val="16"/>
      <w:szCs w:val="16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