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Por omisión A"/>
        <w:spacing w:before="0"/>
        <w:ind w:left="720" w:hanging="720"/>
        <w:jc w:val="both"/>
        <w:rPr>
          <w:rStyle w:val="Ninguno"/>
          <w:rFonts w:ascii="Arial" w:hAnsi="Arial"/>
          <w:b w:val="1"/>
          <w:bCs w:val="1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</w:rPr>
        <w:tab/>
        <w:tab/>
        <w:tab/>
        <w:tab/>
      </w:r>
    </w:p>
    <w:p>
      <w:pPr>
        <w:pStyle w:val="Cuerpo 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Style w:val="Ninguno"/>
          <w:rFonts w:ascii="Calibri" w:hAnsi="Calibri"/>
          <w:b w:val="1"/>
          <w:bCs w:val="1"/>
          <w:caps w:val="1"/>
          <w:sz w:val="26"/>
          <w:szCs w:val="26"/>
        </w:rPr>
      </w:pPr>
    </w:p>
    <w:p>
      <w:pPr>
        <w:pStyle w:val="Cuerpo 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Style w:val="Ninguno"/>
          <w:rFonts w:ascii="Calibri" w:cs="Calibri" w:hAnsi="Calibri" w:eastAsia="Calibri"/>
          <w:b w:val="1"/>
          <w:bCs w:val="1"/>
          <w:caps w:val="1"/>
          <w:outline w:val="0"/>
          <w:color w:val="8496b0"/>
          <w:sz w:val="28"/>
          <w:szCs w:val="28"/>
          <w:u w:color="8496b0"/>
          <w14:textFill>
            <w14:solidFill>
              <w14:srgbClr w14:val="8496B0"/>
            </w14:solidFill>
          </w14:textFill>
        </w:rPr>
      </w:pPr>
      <w:r>
        <w:rPr>
          <w:rStyle w:val="Ninguno"/>
          <w:rFonts w:ascii="Calibri" w:hAnsi="Calibri"/>
          <w:b w:val="1"/>
          <w:bCs w:val="1"/>
          <w: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 xml:space="preserve">LAGOH </w:t>
      </w:r>
      <w:r>
        <w:rPr>
          <w:rStyle w:val="Ninguno"/>
          <w:rFonts w:ascii="Calibri" w:hAnsi="Calibri"/>
          <w:b w:val="1"/>
          <w:bCs w:val="1"/>
          <w:caps w:val="1"/>
          <w:outline w:val="0"/>
          <w:color w:val="8496b0"/>
          <w:sz w:val="28"/>
          <w:szCs w:val="28"/>
          <w:u w:color="8496b0"/>
          <w:rtl w:val="0"/>
          <w:lang w:val="es-ES_tradnl"/>
          <w14:textFill>
            <w14:solidFill>
              <w14:srgbClr w14:val="8496B0"/>
            </w14:solidFill>
          </w14:textFill>
        </w:rPr>
        <w:t>CELEBRA su primer aniversario tras registrar 2 millones de visitas en verano</w:t>
      </w:r>
    </w:p>
    <w:p>
      <w:pPr>
        <w:pStyle w:val="Por omisión A"/>
        <w:spacing w:before="0"/>
        <w:jc w:val="both"/>
        <w:rPr>
          <w:rStyle w:val="Ninguno"/>
          <w:rFonts w:ascii="Helvetica" w:cs="Helvetica" w:hAnsi="Helvetica" w:eastAsia="Helvetica"/>
          <w:sz w:val="29"/>
          <w:szCs w:val="29"/>
        </w:rPr>
      </w:pPr>
    </w:p>
    <w:p>
      <w:pPr>
        <w:pStyle w:val="Por omisión A"/>
        <w:numPr>
          <w:ilvl w:val="0"/>
          <w:numId w:val="2"/>
        </w:numPr>
        <w:bidi w:val="0"/>
        <w:spacing w:before="0"/>
        <w:ind w:right="0"/>
        <w:jc w:val="both"/>
        <w:rPr>
          <w:rFonts w:ascii="Calibri" w:hAnsi="Calibri"/>
          <w:b w:val="1"/>
          <w:bCs w:val="1"/>
          <w:sz w:val="22"/>
          <w:szCs w:val="22"/>
          <w:rtl w:val="0"/>
          <w:lang w:val="es-ES_tradnl"/>
        </w:rPr>
      </w:pPr>
      <w:r>
        <w:rPr>
          <w:rStyle w:val="Ning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Pese a los meses de confinamiento, la incorporaci</w:t>
      </w:r>
      <w:r>
        <w:rPr>
          <w:rStyle w:val="Ninguno"/>
          <w:rFonts w:ascii="Calibri" w:hAnsi="Calibri" w:hint="default"/>
          <w:b w:val="1"/>
          <w:bCs w:val="1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nuevos operadores tras su reapertura refuerza el mix comercial y de ocio de Lagoh, que se reafirma como la oferta m</w:t>
      </w:r>
      <w:r>
        <w:rPr>
          <w:rStyle w:val="Ninguno"/>
          <w:rFonts w:ascii="Calibri" w:hAnsi="Calibri" w:hint="default"/>
          <w:b w:val="1"/>
          <w:bCs w:val="1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 diferencial y de valor a</w:t>
      </w:r>
      <w:r>
        <w:rPr>
          <w:rStyle w:val="Ninguno"/>
          <w:rFonts w:ascii="Calibri" w:hAnsi="Calibri" w:hint="default"/>
          <w:b w:val="1"/>
          <w:bCs w:val="1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adido, tanto para los comerciantes como para los clientes finales.</w:t>
      </w: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Por omisión A"/>
        <w:numPr>
          <w:ilvl w:val="0"/>
          <w:numId w:val="2"/>
        </w:numPr>
        <w:bidi w:val="0"/>
        <w:spacing w:before="0"/>
        <w:ind w:right="0"/>
        <w:jc w:val="both"/>
        <w:rPr>
          <w:rFonts w:ascii="Calibri" w:hAnsi="Calibri"/>
          <w:b w:val="1"/>
          <w:bCs w:val="1"/>
          <w:sz w:val="22"/>
          <w:szCs w:val="22"/>
          <w:rtl w:val="0"/>
          <w:lang w:val="es-ES_tradnl"/>
        </w:rPr>
      </w:pPr>
      <w:r>
        <w:rPr>
          <w:rStyle w:val="Ninguno A"/>
          <w:rFonts w:ascii="Calibri" w:hAnsi="Calibri"/>
          <w:b w:val="1"/>
          <w:bCs w:val="1"/>
          <w:sz w:val="22"/>
          <w:szCs w:val="22"/>
          <w:rtl w:val="0"/>
          <w:lang w:val="es-ES_tradnl"/>
        </w:rPr>
        <w:t>La apuesta por est</w:t>
      </w:r>
      <w:r>
        <w:rPr>
          <w:rStyle w:val="Ninguno A"/>
          <w:rFonts w:ascii="Calibri" w:hAnsi="Calibri" w:hint="default"/>
          <w:b w:val="1"/>
          <w:bCs w:val="1"/>
          <w:sz w:val="22"/>
          <w:szCs w:val="22"/>
          <w:rtl w:val="0"/>
          <w:lang w:val="es-ES_tradnl"/>
        </w:rPr>
        <w:t>á</w:t>
      </w:r>
      <w:r>
        <w:rPr>
          <w:rStyle w:val="Ninguno A"/>
          <w:rFonts w:ascii="Calibri" w:hAnsi="Calibri"/>
          <w:b w:val="1"/>
          <w:bCs w:val="1"/>
          <w:sz w:val="22"/>
          <w:szCs w:val="22"/>
          <w:rtl w:val="0"/>
          <w:lang w:val="es-ES_tradnl"/>
        </w:rPr>
        <w:t>ndares de seguridad por encima de los exigidos en la normativa, la innovaci</w:t>
      </w:r>
      <w:r>
        <w:rPr>
          <w:rStyle w:val="Ninguno A"/>
          <w:rFonts w:ascii="Calibri" w:hAnsi="Calibri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Style w:val="Ninguno A"/>
          <w:rFonts w:ascii="Calibri" w:hAnsi="Calibri"/>
          <w:b w:val="1"/>
          <w:bCs w:val="1"/>
          <w:sz w:val="22"/>
          <w:szCs w:val="22"/>
          <w:rtl w:val="0"/>
          <w:lang w:val="es-ES_tradnl"/>
        </w:rPr>
        <w:t>n tecnol</w:t>
      </w:r>
      <w:r>
        <w:rPr>
          <w:rStyle w:val="Ninguno A"/>
          <w:rFonts w:ascii="Calibri" w:hAnsi="Calibri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Style w:val="Ninguno A"/>
          <w:rFonts w:ascii="Calibri" w:hAnsi="Calibri"/>
          <w:b w:val="1"/>
          <w:bCs w:val="1"/>
          <w:sz w:val="22"/>
          <w:szCs w:val="22"/>
          <w:rtl w:val="0"/>
          <w:lang w:val="es-ES_tradnl"/>
        </w:rPr>
        <w:t>gica y la sostenibilidad definen la apuesta de Grupo Lar para Lagoh, uno de los mayores complejos comerciales y de ocio de Espa</w:t>
      </w:r>
      <w:r>
        <w:rPr>
          <w:rStyle w:val="Ninguno A"/>
          <w:rFonts w:ascii="Calibri" w:hAnsi="Calibri" w:hint="default"/>
          <w:b w:val="1"/>
          <w:bCs w:val="1"/>
          <w:sz w:val="22"/>
          <w:szCs w:val="22"/>
          <w:rtl w:val="0"/>
          <w:lang w:val="es-ES_tradnl"/>
        </w:rPr>
        <w:t>ñ</w:t>
      </w:r>
      <w:r>
        <w:rPr>
          <w:rStyle w:val="Ninguno A"/>
          <w:rFonts w:ascii="Calibri" w:hAnsi="Calibri"/>
          <w:b w:val="1"/>
          <w:bCs w:val="1"/>
          <w:sz w:val="22"/>
          <w:szCs w:val="22"/>
          <w:rtl w:val="0"/>
          <w:lang w:val="es-ES_tradnl"/>
        </w:rPr>
        <w:t>a.</w:t>
      </w: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Por omisión A"/>
        <w:numPr>
          <w:ilvl w:val="0"/>
          <w:numId w:val="2"/>
        </w:numPr>
        <w:bidi w:val="0"/>
        <w:spacing w:before="0"/>
        <w:ind w:right="0"/>
        <w:jc w:val="both"/>
        <w:rPr>
          <w:rFonts w:ascii="Calibri" w:hAnsi="Calibri"/>
          <w:b w:val="1"/>
          <w:bCs w:val="1"/>
          <w:sz w:val="22"/>
          <w:szCs w:val="22"/>
          <w:rtl w:val="0"/>
          <w:lang w:val="es-ES_tradnl"/>
        </w:rPr>
      </w:pPr>
      <w:r>
        <w:rPr>
          <w:rStyle w:val="Ninguno A"/>
          <w:rFonts w:ascii="Calibri" w:hAnsi="Calibri"/>
          <w:b w:val="1"/>
          <w:bCs w:val="1"/>
          <w:sz w:val="22"/>
          <w:szCs w:val="22"/>
          <w:rtl w:val="0"/>
          <w:lang w:val="es-ES_tradnl"/>
        </w:rPr>
        <w:t>La programaci</w:t>
      </w:r>
      <w:r>
        <w:rPr>
          <w:rStyle w:val="Ninguno A"/>
          <w:rFonts w:ascii="Calibri" w:hAnsi="Calibri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Style w:val="Ninguno A"/>
          <w:rFonts w:ascii="Calibri" w:hAnsi="Calibri"/>
          <w:b w:val="1"/>
          <w:bCs w:val="1"/>
          <w:sz w:val="22"/>
          <w:szCs w:val="22"/>
          <w:rtl w:val="0"/>
          <w:lang w:val="es-ES_tradnl"/>
        </w:rPr>
        <w:t>n conmemorativa del primer aniversario de Lagoh incluye una semana de actividades para el p</w:t>
      </w:r>
      <w:r>
        <w:rPr>
          <w:rStyle w:val="Ninguno A"/>
          <w:rFonts w:ascii="Calibri" w:hAnsi="Calibri" w:hint="default"/>
          <w:b w:val="1"/>
          <w:bCs w:val="1"/>
          <w:sz w:val="22"/>
          <w:szCs w:val="22"/>
          <w:rtl w:val="0"/>
          <w:lang w:val="es-ES_tradnl"/>
        </w:rPr>
        <w:t>ú</w:t>
      </w:r>
      <w:r>
        <w:rPr>
          <w:rStyle w:val="Ninguno A"/>
          <w:rFonts w:ascii="Calibri" w:hAnsi="Calibri"/>
          <w:b w:val="1"/>
          <w:bCs w:val="1"/>
          <w:sz w:val="22"/>
          <w:szCs w:val="22"/>
          <w:rtl w:val="0"/>
          <w:lang w:val="es-ES_tradnl"/>
        </w:rPr>
        <w:t>blico, adem</w:t>
      </w:r>
      <w:r>
        <w:rPr>
          <w:rStyle w:val="Ninguno A"/>
          <w:rFonts w:ascii="Calibri" w:hAnsi="Calibri" w:hint="default"/>
          <w:b w:val="1"/>
          <w:bCs w:val="1"/>
          <w:sz w:val="22"/>
          <w:szCs w:val="22"/>
          <w:rtl w:val="0"/>
          <w:lang w:val="es-ES_tradnl"/>
        </w:rPr>
        <w:t>á</w:t>
      </w:r>
      <w:r>
        <w:rPr>
          <w:rStyle w:val="Ninguno A"/>
          <w:rFonts w:ascii="Calibri" w:hAnsi="Calibri"/>
          <w:b w:val="1"/>
          <w:bCs w:val="1"/>
          <w:sz w:val="22"/>
          <w:szCs w:val="22"/>
          <w:rtl w:val="0"/>
          <w:lang w:val="es-ES_tradnl"/>
        </w:rPr>
        <w:t xml:space="preserve">s del lanzamiento del </w:t>
      </w:r>
      <w:r>
        <w:rPr>
          <w:rStyle w:val="Ninguno A"/>
          <w:rFonts w:ascii="Calibri" w:hAnsi="Calibri" w:hint="default"/>
          <w:b w:val="1"/>
          <w:bCs w:val="1"/>
          <w:sz w:val="22"/>
          <w:szCs w:val="22"/>
          <w:rtl w:val="0"/>
          <w:lang w:val="es-ES_tradnl"/>
        </w:rPr>
        <w:t>“</w:t>
      </w:r>
      <w:r>
        <w:rPr>
          <w:rStyle w:val="Ninguno A"/>
          <w:rFonts w:ascii="Calibri" w:hAnsi="Calibri"/>
          <w:b w:val="1"/>
          <w:bCs w:val="1"/>
          <w:sz w:val="22"/>
          <w:szCs w:val="22"/>
          <w:rtl w:val="0"/>
          <w:lang w:val="es-ES_tradnl"/>
        </w:rPr>
        <w:t>Club de los Disfrutones</w:t>
      </w:r>
      <w:r>
        <w:rPr>
          <w:rStyle w:val="Ninguno A"/>
          <w:rFonts w:ascii="Calibri" w:hAnsi="Calibri" w:hint="default"/>
          <w:b w:val="1"/>
          <w:bCs w:val="1"/>
          <w:sz w:val="22"/>
          <w:szCs w:val="22"/>
          <w:rtl w:val="0"/>
          <w:lang w:val="es-ES_tradnl"/>
        </w:rPr>
        <w:t>”</w:t>
      </w:r>
      <w:r>
        <w:rPr>
          <w:rStyle w:val="Ninguno A"/>
          <w:rFonts w:ascii="Calibri" w:hAnsi="Calibri"/>
          <w:b w:val="1"/>
          <w:bCs w:val="1"/>
          <w:sz w:val="22"/>
          <w:szCs w:val="22"/>
          <w:rtl w:val="0"/>
          <w:lang w:val="es-ES_tradnl"/>
        </w:rPr>
        <w:t>, con servicios y promociones exclusivas.</w:t>
      </w: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>Sevilla, 2</w:t>
      </w: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>4</w:t>
      </w: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 xml:space="preserve"> de septiembre de 2020.- 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Lagoh, uno de los mayores complejos comerciales y de ocio de Espa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a, celebra su primer aniversario el pr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ximo domingo 27 de septiembre, una jornada en la que dar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 xml:space="preserve">á 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comienzo una semana de actividades dedicadas especialmente a sus clientes. La programaci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n coincide con la finalizaci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n del periodo estival durante el que Lagoh ha alcanzado casi 2 millones de visitas. </w:t>
      </w: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La incorporaci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n de nuevos operadores ha contribuido a paliar los efectos de los meses de confinamiento. La oferta de Lagoh ha crecido cuantitativa y cualitativamente con la llegada de operadores tales como Apart, Vodafone, Adrian Lasconni, Citees y Lagoh Boat, que refuerzan la oferta comercial y de ocio de Lagoh. </w:t>
      </w: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Con la celebraci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n de este primer aniversario, 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“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queremos, ante todo, mostrar nuestro agradecimiento a nuestros clientes, por la confianza que han depositado en nosotros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”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, explica el gerente de Lagoh, Carlos Fita. </w:t>
      </w: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“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Nuestros pilares esenciales son la apuesta por est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á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ndares de seguridad 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—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por encima de los exigidos en la normativa actual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—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, la innovaci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it-IT"/>
        </w:rPr>
        <w:t>n tecnol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gica y la sostenibilidad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”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. En este sentido, adem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á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s de los actuales sistemas de control inteligente de aforo, m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dulos higienizantes y sistemas de informaci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n QR a lo largo del recinto, en Lagoh seguiremos avanzando pr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ximamente en nuevos proyectos en el 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á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rea de la innovaci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n y la seguridad, tanto para quienes nos visitan como para quienes trabajamos en el complejo con nuevos desarrollos para seguir aportando la mejor experiencia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”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, explica Carlos Fita. </w:t>
      </w: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Estos avances se sumar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á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n a la reciente implantaci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n de una plataforma de transporte para los profesionales del centro que reduce su exposici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n al Covid-19, y a otros proyectos centrales para Lagoh presentes desde la apertura del complejo, tales como la continua apuesta por el 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ptimo mantenimiento del lago que circunda y da nombre al centro, y sus especies vivas, mediante convenios suscritos con la Universidad de Sevilla y la participaci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n de ec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logos y otros especialistas.</w:t>
      </w: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>Eventos para el p</w:t>
      </w:r>
      <w:r>
        <w:rPr>
          <w:rStyle w:val="Ninguno"/>
          <w:rFonts w:ascii="Calibri" w:hAnsi="Calibri" w:hint="default"/>
          <w:b w:val="1"/>
          <w:bCs w:val="1"/>
          <w:sz w:val="22"/>
          <w:szCs w:val="22"/>
          <w:rtl w:val="0"/>
          <w:lang w:val="es-ES_tradnl"/>
        </w:rPr>
        <w:t>ú</w:t>
      </w: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 xml:space="preserve">blico </w:t>
      </w: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outline w:val="0"/>
          <w:color w:val="8496b0"/>
          <w:sz w:val="22"/>
          <w:szCs w:val="22"/>
          <w:u w:color="8496b0"/>
          <w14:textFill>
            <w14:solidFill>
              <w14:srgbClr w14:val="8496B0"/>
            </w14:solidFill>
          </w14:textFill>
        </w:rPr>
      </w:pP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Junto a la puesta en marcha, desde el pr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ximo domingo 27 de septiembre, del programa de actividades para todos aquellos que visiten el centro con motivo de su aniversario, Lagoh lanzar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 xml:space="preserve">á 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tambi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é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n el 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“</w:t>
      </w: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>Club de los Disfrutones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”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, creado para ofrecer servicios y promociones exclusivas para sus clientes. La inscripci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n es gratuita y se realiza online en la siguiente direcci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n web: </w:t>
      </w:r>
      <w:r>
        <w:rPr>
          <w:rStyle w:val="Hyperlink.0"/>
          <w:rFonts w:ascii="Calibri" w:cs="Calibri" w:hAnsi="Calibri" w:eastAsia="Calibri"/>
          <w:outline w:val="0"/>
          <w:color w:val="0563c1"/>
          <w:sz w:val="22"/>
          <w:szCs w:val="22"/>
          <w:u w:val="single" w:color="0563c1"/>
          <w:lang w:val="en-US"/>
          <w14:textFill>
            <w14:solidFill>
              <w14:srgbClr w14:val="0563C1"/>
            </w14:solidFill>
          </w14:textFill>
        </w:rPr>
        <w:fldChar w:fldCharType="begin" w:fldLock="0"/>
      </w:r>
      <w:r>
        <w:rPr>
          <w:rStyle w:val="Hyperlink.0"/>
          <w:rFonts w:ascii="Calibri" w:cs="Calibri" w:hAnsi="Calibri" w:eastAsia="Calibri"/>
          <w:outline w:val="0"/>
          <w:color w:val="0563c1"/>
          <w:sz w:val="22"/>
          <w:szCs w:val="22"/>
          <w:u w:val="single" w:color="0563c1"/>
          <w:lang w:val="en-US"/>
          <w14:textFill>
            <w14:solidFill>
              <w14:srgbClr w14:val="0563C1"/>
            </w14:solidFill>
          </w14:textFill>
        </w:rPr>
        <w:instrText xml:space="preserve"> HYPERLINK "https://www.lagoh.es/club-de-los-disfrutones/"</w:instrText>
      </w:r>
      <w:r>
        <w:rPr>
          <w:rStyle w:val="Hyperlink.0"/>
          <w:rFonts w:ascii="Calibri" w:cs="Calibri" w:hAnsi="Calibri" w:eastAsia="Calibri"/>
          <w:outline w:val="0"/>
          <w:color w:val="0563c1"/>
          <w:sz w:val="22"/>
          <w:szCs w:val="22"/>
          <w:u w:val="single" w:color="0563c1"/>
          <w:lang w:val="en-US"/>
          <w14:textFill>
            <w14:solidFill>
              <w14:srgbClr w14:val="0563C1"/>
            </w14:solidFill>
          </w14:textFill>
        </w:rPr>
        <w:fldChar w:fldCharType="separate" w:fldLock="0"/>
      </w:r>
      <w:r>
        <w:rPr>
          <w:rStyle w:val="Hyperlink.0"/>
          <w:rFonts w:ascii="Calibri" w:hAnsi="Calibri"/>
          <w:outline w:val="0"/>
          <w:color w:val="0563c1"/>
          <w:sz w:val="22"/>
          <w:szCs w:val="22"/>
          <w:u w:val="single" w:color="0563c1"/>
          <w:rtl w:val="0"/>
          <w:lang w:val="en-US"/>
          <w14:textFill>
            <w14:solidFill>
              <w14:srgbClr w14:val="0563C1"/>
            </w14:solidFill>
          </w14:textFill>
        </w:rPr>
        <w:t>https://www.lagoh.es/club-de-los-disfrutones/</w:t>
      </w:r>
      <w:r>
        <w:rPr/>
        <w:fldChar w:fldCharType="end" w:fldLock="0"/>
      </w:r>
      <w:r>
        <w:rPr>
          <w:rStyle w:val="Ninguno"/>
          <w:rFonts w:ascii="Calibri" w:hAnsi="Calibri"/>
          <w:outline w:val="0"/>
          <w:color w:val="8496b0"/>
          <w:sz w:val="22"/>
          <w:szCs w:val="22"/>
          <w:u w:color="8496b0"/>
          <w:rtl w:val="0"/>
          <w:lang w:val="es-ES_tradnl"/>
          <w14:textFill>
            <w14:solidFill>
              <w14:srgbClr w14:val="8496B0"/>
            </w14:solidFill>
          </w14:textFill>
        </w:rPr>
        <w:t xml:space="preserve">  </w:t>
      </w: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outline w:val="0"/>
          <w:color w:val="8496b0"/>
          <w:sz w:val="22"/>
          <w:szCs w:val="22"/>
          <w:u w:color="8496b0"/>
          <w14:textFill>
            <w14:solidFill>
              <w14:srgbClr w14:val="8496B0"/>
            </w14:solidFill>
          </w14:textFill>
        </w:rPr>
      </w:pP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outline w:val="0"/>
          <w:color w:val="8496b0"/>
          <w:sz w:val="22"/>
          <w:szCs w:val="22"/>
          <w:u w:color="8496b0"/>
          <w14:textFill>
            <w14:solidFill>
              <w14:srgbClr w14:val="8496B0"/>
            </w14:solidFill>
          </w14:textFill>
        </w:rPr>
      </w:pP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outline w:val="0"/>
          <w:color w:val="8496b0"/>
          <w:sz w:val="22"/>
          <w:szCs w:val="22"/>
          <w:u w:color="8496b0"/>
          <w14:textFill>
            <w14:solidFill>
              <w14:srgbClr w14:val="8496B0"/>
            </w14:solidFill>
          </w14:textFill>
        </w:rPr>
      </w:pP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outline w:val="0"/>
          <w:color w:val="8496b0"/>
          <w:sz w:val="22"/>
          <w:szCs w:val="22"/>
          <w:u w:color="8496b0"/>
          <w14:textFill>
            <w14:solidFill>
              <w14:srgbClr w14:val="8496B0"/>
            </w14:solidFill>
          </w14:textFill>
        </w:rPr>
      </w:pP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outline w:val="0"/>
          <w:color w:val="8496b0"/>
          <w:sz w:val="22"/>
          <w:szCs w:val="22"/>
          <w:u w:color="8496b0"/>
          <w14:textFill>
            <w14:solidFill>
              <w14:srgbClr w14:val="8496B0"/>
            </w14:solidFill>
          </w14:textFill>
        </w:rPr>
      </w:pP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En cuanto a la </w:t>
      </w: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>programaci</w:t>
      </w:r>
      <w:r>
        <w:rPr>
          <w:rStyle w:val="Ninguno"/>
          <w:rFonts w:ascii="Calibri" w:hAnsi="Calibri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>n semanal del aniversario (del 27 de septiembre al 3 de octubre)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 destaca la posibilidad de realizar un </w:t>
      </w: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>ascenso en globo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, por sorteo, para disfrutar de una incre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ble vista de Sevilla desde 20 metros de altura. </w:t>
      </w: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</w:p>
    <w:p>
      <w:pPr>
        <w:pStyle w:val="Por omisión A"/>
        <w:spacing w:before="0"/>
        <w:jc w:val="both"/>
        <w:rPr>
          <w:rStyle w:val="Ninguno"/>
          <w:rFonts w:ascii="Calibri" w:cs="Calibri" w:hAnsi="Calibri" w:eastAsia="Calibri"/>
          <w:sz w:val="22"/>
          <w:szCs w:val="22"/>
        </w:rPr>
      </w:pP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>Los visitantes tendr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á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n la oportunidad de disfrutar asimismo del </w:t>
      </w: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>sorteo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 de 1.000 euros al mes, durante un a</w:t>
      </w:r>
      <w:r>
        <w:rPr>
          <w:rStyle w:val="Ninguno"/>
          <w:rFonts w:ascii="Calibri" w:hAnsi="Calibri" w:hint="default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o, </w:t>
      </w: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>regalos conmemorativos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 y otras divertidas experiencias, como un </w:t>
      </w: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>gran photocall digital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 o la </w:t>
      </w: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>b</w:t>
      </w:r>
      <w:r>
        <w:rPr>
          <w:rStyle w:val="Ninguno"/>
          <w:rFonts w:ascii="Calibri" w:hAnsi="Calibri" w:hint="default"/>
          <w:b w:val="1"/>
          <w:bCs w:val="1"/>
          <w:sz w:val="22"/>
          <w:szCs w:val="22"/>
          <w:rtl w:val="0"/>
          <w:lang w:val="es-ES_tradnl"/>
        </w:rPr>
        <w:t>ú</w:t>
      </w: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>squeda de regalos ocultos en c</w:t>
      </w:r>
      <w:r>
        <w:rPr>
          <w:rStyle w:val="Ninguno"/>
          <w:rFonts w:ascii="Calibri" w:hAnsi="Calibri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>digos QR</w:t>
      </w:r>
      <w:r>
        <w:rPr>
          <w:rStyle w:val="Ninguno"/>
          <w:rFonts w:ascii="Calibri" w:hAnsi="Calibri"/>
          <w:sz w:val="22"/>
          <w:szCs w:val="22"/>
          <w:rtl w:val="0"/>
          <w:lang w:val="es-ES_tradnl"/>
        </w:rPr>
        <w:t xml:space="preserve"> a lo largo de todo el complejo comercial y ocio. </w:t>
      </w:r>
    </w:p>
    <w:p>
      <w:pPr>
        <w:pStyle w:val="Por omisión A"/>
        <w:spacing w:before="0"/>
        <w:rPr>
          <w:rStyle w:val="Ninguno"/>
          <w:rFonts w:ascii="Helvetica" w:cs="Helvetica" w:hAnsi="Helvetica" w:eastAsia="Helvetica"/>
          <w:sz w:val="22"/>
          <w:szCs w:val="22"/>
        </w:rPr>
      </w:pPr>
    </w:p>
    <w:p>
      <w:pPr>
        <w:pStyle w:val="Por omisión A"/>
        <w:spacing w:before="0"/>
        <w:jc w:val="both"/>
        <w:rPr>
          <w:rStyle w:val="Ninguno"/>
          <w:rFonts w:ascii="Arial" w:cs="Arial" w:hAnsi="Arial" w:eastAsia="Arial"/>
          <w:outline w:val="0"/>
          <w:color w:val="222222"/>
          <w:sz w:val="20"/>
          <w:szCs w:val="20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</w:p>
    <w:p>
      <w:pPr>
        <w:pStyle w:val="Por omisión A"/>
        <w:spacing w:before="0"/>
        <w:jc w:val="both"/>
        <w:rPr>
          <w:rStyle w:val="Ninguno"/>
          <w:rFonts w:ascii="Arial" w:cs="Arial" w:hAnsi="Arial" w:eastAsia="Arial"/>
          <w:outline w:val="0"/>
          <w:color w:val="222222"/>
          <w:sz w:val="20"/>
          <w:szCs w:val="20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</w:p>
    <w:p>
      <w:pPr>
        <w:pStyle w:val="Por omisión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after="160" w:line="259" w:lineRule="auto"/>
        <w:jc w:val="both"/>
        <w:rPr>
          <w:rStyle w:val="Ninguno"/>
          <w:rFonts w:ascii="Helvetica" w:cs="Helvetica" w:hAnsi="Helvetica" w:eastAsia="Helvetica"/>
          <w:i w:val="1"/>
          <w:iCs w:val="1"/>
          <w:sz w:val="18"/>
          <w:szCs w:val="18"/>
        </w:rPr>
      </w:pPr>
      <w:r>
        <w:rPr>
          <w:rStyle w:val="Ninguno"/>
          <w:rFonts w:ascii="Helvetica" w:hAnsi="Helvetica"/>
          <w:b w:val="1"/>
          <w:bCs w:val="1"/>
          <w:i w:val="1"/>
          <w:iCs w:val="1"/>
          <w:sz w:val="18"/>
          <w:szCs w:val="18"/>
          <w:rtl w:val="0"/>
          <w:lang w:val="es-ES_tradnl"/>
        </w:rPr>
        <w:t>Sobre Lagoh:</w:t>
      </w:r>
    </w:p>
    <w:p>
      <w:pPr>
        <w:pStyle w:val="Por omisión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after="160" w:line="259" w:lineRule="auto"/>
        <w:jc w:val="both"/>
        <w:rPr>
          <w:rStyle w:val="Ninguno"/>
          <w:rFonts w:ascii="Helvetica" w:cs="Helvetica" w:hAnsi="Helvetica" w:eastAsia="Helvetica"/>
          <w:i w:val="1"/>
          <w:iCs w:val="1"/>
          <w:sz w:val="18"/>
          <w:szCs w:val="18"/>
        </w:rPr>
      </w:pP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Lagoh Sevilla, el activo de Lar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a gestionado por Grupo Lar a trav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é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 xml:space="preserve">s de Gentalia, es el primer </w:t>
      </w:r>
      <w:r>
        <w:rPr>
          <w:rStyle w:val="Ninguno"/>
          <w:rFonts w:ascii="Arial Unicode MS" w:hAnsi="Arial Unicode MS" w:hint="default"/>
          <w:sz w:val="18"/>
          <w:szCs w:val="18"/>
          <w:rtl w:val="1"/>
          <w:lang w:val="ar-SA" w:bidi="ar-SA"/>
        </w:rPr>
        <w:t>“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Complejo Comercial y de Ocio Familiar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”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. Sus m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á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s de 70.000 m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 xml:space="preserve">² 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acogen locales comerciales, actividades de ocio, restauraci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 y terrazas de los principales operadores locales, nacionales e internacionales.</w:t>
      </w:r>
    </w:p>
    <w:p>
      <w:pPr>
        <w:pStyle w:val="Por omisión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after="160" w:line="259" w:lineRule="auto"/>
        <w:jc w:val="both"/>
        <w:rPr>
          <w:rStyle w:val="Ninguno"/>
          <w:rFonts w:ascii="Helvetica" w:cs="Helvetica" w:hAnsi="Helvetica" w:eastAsia="Helvetica"/>
          <w:b w:val="1"/>
          <w:bCs w:val="1"/>
          <w:i w:val="1"/>
          <w:iCs w:val="1"/>
          <w:sz w:val="18"/>
          <w:szCs w:val="18"/>
        </w:rPr>
      </w:pPr>
      <w:r>
        <w:rPr>
          <w:rStyle w:val="Ninguno"/>
          <w:rFonts w:ascii="Helvetica" w:hAnsi="Helvetica"/>
          <w:b w:val="1"/>
          <w:bCs w:val="1"/>
          <w:i w:val="1"/>
          <w:iCs w:val="1"/>
          <w:sz w:val="18"/>
          <w:szCs w:val="18"/>
          <w:rtl w:val="0"/>
          <w:lang w:val="es-ES_tradnl"/>
        </w:rPr>
        <w:t>Sobre Lar Espa</w:t>
      </w:r>
      <w:r>
        <w:rPr>
          <w:rStyle w:val="Ninguno"/>
          <w:rFonts w:ascii="Helvetica" w:hAnsi="Helvetica" w:hint="default"/>
          <w:b w:val="1"/>
          <w:bCs w:val="1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b w:val="1"/>
          <w:bCs w:val="1"/>
          <w:i w:val="1"/>
          <w:iCs w:val="1"/>
          <w:sz w:val="18"/>
          <w:szCs w:val="18"/>
          <w:rtl w:val="0"/>
          <w:lang w:val="es-ES_tradnl"/>
        </w:rPr>
        <w:t>a y Grupo Lar:</w:t>
      </w:r>
    </w:p>
    <w:p>
      <w:pPr>
        <w:pStyle w:val="Por omisión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after="160" w:line="259" w:lineRule="auto"/>
        <w:jc w:val="both"/>
        <w:rPr>
          <w:rStyle w:val="Ninguno"/>
          <w:rFonts w:ascii="Helvetica" w:cs="Helvetica" w:hAnsi="Helvetica" w:eastAsia="Helvetica"/>
          <w:i w:val="1"/>
          <w:iCs w:val="1"/>
          <w:sz w:val="18"/>
          <w:szCs w:val="18"/>
        </w:rPr>
      </w:pP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Lar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a Real Estate fue la primera Socimi en cotizar en el Mercado Continuo. 5 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os despu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é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s se ha convertido en el l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í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der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ol en Centros y Parques Comerciales, con activos por valor de 1.500 millones de euros y cerca de 600.000 metros cuadrados de GLA, a la que aplica una estrategia multicanal y de experiencia al cliente con unos altos est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á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ndares en materia social, medioambiental y de gobierno corporativo. Su fuerte balance y sus resultados operativos hacen de Lar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 xml:space="preserve">a una oferta 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ú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nica para sus comerciantes, marcas y visitantes.Grupo Lar, con 50 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os de actividad en el sector inmobiliario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ol, gestiona los activos de Lar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a. Desde sus inicios, se ha encargado de la concepci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n, dise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 y ejecuci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 del proyecto Lagoh en todas sus fases de construcci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 y comercializaci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 y posteriormente se encargar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 xml:space="preserve">á 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de su gesti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n.</w:t>
      </w:r>
    </w:p>
    <w:p>
      <w:pPr>
        <w:pStyle w:val="Por omisión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after="160" w:line="259" w:lineRule="auto"/>
        <w:jc w:val="both"/>
        <w:rPr>
          <w:rStyle w:val="Ninguno"/>
          <w:rFonts w:ascii="Helvetica" w:cs="Helvetica" w:hAnsi="Helvetica" w:eastAsia="Helvetica"/>
          <w:i w:val="1"/>
          <w:iCs w:val="1"/>
          <w:sz w:val="18"/>
          <w:szCs w:val="18"/>
        </w:rPr>
      </w:pPr>
    </w:p>
    <w:p>
      <w:pPr>
        <w:pStyle w:val="Por omisión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after="160"/>
        <w:jc w:val="center"/>
        <w:rPr>
          <w:rStyle w:val="Ninguno"/>
          <w:rFonts w:ascii="Calibri" w:cs="Calibri" w:hAnsi="Calibri" w:eastAsia="Calibri"/>
          <w:outline w:val="0"/>
          <w:color w:val="7f7f7f"/>
          <w:sz w:val="16"/>
          <w:szCs w:val="16"/>
          <w:u w:color="7f7f7f"/>
          <w14:textFill>
            <w14:solidFill>
              <w14:srgbClr w14:val="7F7F7F"/>
            </w14:solidFill>
          </w14:textFill>
        </w:rPr>
      </w:pPr>
      <w:r>
        <w:rPr>
          <w:rStyle w:val="Ninguno"/>
          <w:rFonts w:ascii="Helvetica" w:hAnsi="Helvetica"/>
          <w:b w:val="1"/>
          <w:bCs w:val="1"/>
          <w:outline w:val="0"/>
          <w:color w:val="7f7f7f"/>
          <w:sz w:val="16"/>
          <w:szCs w:val="16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>Contacto de comunicaci</w:t>
      </w:r>
      <w:r>
        <w:rPr>
          <w:rStyle w:val="Ninguno"/>
          <w:rFonts w:ascii="Helvetica" w:hAnsi="Helvetica" w:hint="default"/>
          <w:b w:val="1"/>
          <w:bCs w:val="1"/>
          <w:outline w:val="0"/>
          <w:color w:val="7f7f7f"/>
          <w:sz w:val="16"/>
          <w:szCs w:val="16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>ó</w:t>
      </w:r>
      <w:r>
        <w:rPr>
          <w:rStyle w:val="Ninguno"/>
          <w:rFonts w:ascii="Helvetica" w:hAnsi="Helvetica"/>
          <w:b w:val="1"/>
          <w:bCs w:val="1"/>
          <w:outline w:val="0"/>
          <w:color w:val="7f7f7f"/>
          <w:sz w:val="16"/>
          <w:szCs w:val="16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 xml:space="preserve">n: </w:t>
      </w:r>
      <w:r>
        <w:rPr>
          <w:rStyle w:val="Ninguno"/>
          <w:rFonts w:ascii="Calibri" w:hAnsi="Calibri"/>
          <w:outline w:val="0"/>
          <w:color w:val="7f7f7f"/>
          <w:sz w:val="16"/>
          <w:szCs w:val="16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>Pilar Mena / Jos</w:t>
      </w:r>
      <w:r>
        <w:rPr>
          <w:rStyle w:val="Ninguno"/>
          <w:rFonts w:ascii="Calibri" w:hAnsi="Calibri" w:hint="default"/>
          <w:outline w:val="0"/>
          <w:color w:val="7f7f7f"/>
          <w:sz w:val="16"/>
          <w:szCs w:val="16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 xml:space="preserve">é </w:t>
      </w:r>
      <w:r>
        <w:rPr>
          <w:rStyle w:val="Ninguno"/>
          <w:rFonts w:ascii="Calibri" w:hAnsi="Calibri"/>
          <w:outline w:val="0"/>
          <w:color w:val="7f7f7f"/>
          <w:sz w:val="16"/>
          <w:szCs w:val="16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 xml:space="preserve">Manuel Caro </w:t>
      </w:r>
    </w:p>
    <w:p>
      <w:pPr>
        <w:pStyle w:val="Por omisión 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after="160"/>
        <w:jc w:val="center"/>
      </w:pP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"mailto:pmena@euromediagrupo.es"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es-ES_tradnl"/>
        </w:rPr>
        <w:t>pmena@euromediagrupo.es</w:t>
      </w:r>
      <w:r>
        <w:rPr/>
        <w:fldChar w:fldCharType="end" w:fldLock="0"/>
      </w:r>
      <w:r>
        <w:rPr>
          <w:rStyle w:val="Ninguno"/>
          <w:rFonts w:ascii="Calibri" w:hAnsi="Calibri"/>
          <w:outline w:val="0"/>
          <w:color w:val="7f7f7f"/>
          <w:sz w:val="16"/>
          <w:szCs w:val="16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 xml:space="preserve">;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"mailto:jcaro@euromediagrupo.es"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es-ES_tradnl"/>
        </w:rPr>
        <w:t>jcaro@euromediagrupo.es</w:t>
      </w:r>
      <w:r>
        <w:rPr/>
        <w:fldChar w:fldCharType="end" w:fldLock="0"/>
      </w:r>
      <w:r>
        <w:rPr>
          <w:rStyle w:val="Ninguno"/>
          <w:rFonts w:ascii="Calibri" w:hAnsi="Calibri"/>
          <w:outline w:val="0"/>
          <w:color w:val="7f7f7f"/>
          <w:sz w:val="16"/>
          <w:szCs w:val="16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 xml:space="preserve">   </w:t>
      </w:r>
      <w:r>
        <w:rPr>
          <w:rStyle w:val="Ninguno"/>
          <w:rFonts w:ascii="Arial" w:hAnsi="Arial"/>
          <w:outline w:val="0"/>
          <w:color w:val="666666"/>
          <w:sz w:val="16"/>
          <w:szCs w:val="16"/>
          <w:u w:color="666666"/>
          <w:rtl w:val="0"/>
          <w:lang w:val="es-ES_tradnl"/>
          <w14:textFill>
            <w14:solidFill>
              <w14:srgbClr w14:val="666666"/>
            </w14:solidFill>
          </w14:textFill>
        </w:rPr>
        <w:t xml:space="preserve">630133977 </w:t>
      </w:r>
      <w:r>
        <w:rPr>
          <w:rStyle w:val="Ninguno"/>
          <w:rFonts w:ascii="Arial" w:hAnsi="Arial" w:hint="default"/>
          <w:outline w:val="0"/>
          <w:color w:val="666666"/>
          <w:sz w:val="16"/>
          <w:szCs w:val="16"/>
          <w:u w:color="666666"/>
          <w:rtl w:val="0"/>
          <w:lang w:val="es-ES_tradnl"/>
          <w14:textFill>
            <w14:solidFill>
              <w14:srgbClr w14:val="666666"/>
            </w14:solidFill>
          </w14:textFill>
        </w:rPr>
        <w:t xml:space="preserve">– </w:t>
      </w:r>
      <w:r>
        <w:rPr>
          <w:rStyle w:val="Ninguno"/>
          <w:rFonts w:ascii="Arial" w:hAnsi="Arial"/>
          <w:outline w:val="0"/>
          <w:color w:val="666666"/>
          <w:sz w:val="16"/>
          <w:szCs w:val="16"/>
          <w:u w:color="666666"/>
          <w:rtl w:val="0"/>
          <w:lang w:val="es-ES_tradnl"/>
          <w14:textFill>
            <w14:solidFill>
              <w14:srgbClr w14:val="666666"/>
            </w14:solidFill>
          </w14:textFill>
        </w:rPr>
        <w:t>677732025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 A"/>
      <w:tabs>
        <w:tab w:val="center" w:pos="4819"/>
        <w:tab w:val="right" w:pos="9612"/>
        <w:tab w:val="clear" w:pos="9020"/>
      </w:tabs>
    </w:pPr>
    <w:r>
      <w:rPr>
        <w:rStyle w:val="Ninguno A"/>
      </w:rPr>
      <w:tab/>
    </w:r>
    <w:r>
      <w:rPr>
        <w:rStyle w:val="Ninguno A"/>
      </w:rPr>
      <w:drawing xmlns:a="http://schemas.openxmlformats.org/drawingml/2006/main">
        <wp:inline distT="0" distB="0" distL="0" distR="0">
          <wp:extent cx="1865630" cy="902335"/>
          <wp:effectExtent l="0" t="0" r="0" b="0"/>
          <wp:docPr id="1073741825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1" descr="Picture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630" cy="9023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Viñeta"/>
  </w:abstractNum>
  <w:abstractNum w:abstractNumId="1">
    <w:multiLevelType w:val="hybridMultilevel"/>
    <w:styleLink w:val="Viñeta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81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03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25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47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69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91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13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35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 A">
    <w:name w:val="Cabecera y pie A"/>
    <w:next w:val="Cabecera y pie 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Ninguno">
    <w:name w:val="Ninguno"/>
  </w:style>
  <w:style w:type="character" w:styleId="Ninguno A">
    <w:name w:val="Ninguno A"/>
    <w:basedOn w:val="Ninguno"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Por omisión A">
    <w:name w:val="Por omisión A"/>
    <w:next w:val="Por omisión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Cuerpo A">
    <w:name w:val="Cuerpo A"/>
    <w:next w:val="Cue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Viñeta">
    <w:name w:val="Viñeta"/>
    <w:pPr>
      <w:numPr>
        <w:numId w:val="1"/>
      </w:numPr>
    </w:pPr>
  </w:style>
  <w:style w:type="character" w:styleId="Hyperlink.0">
    <w:name w:val="Hyperlink.0"/>
    <w:basedOn w:val="Ninguno"/>
    <w:next w:val="Hyperlink.0"/>
    <w:rPr>
      <w:rFonts w:ascii="Calibri" w:cs="Calibri" w:hAnsi="Calibri" w:eastAsia="Calibri"/>
      <w:outline w:val="0"/>
      <w:color w:val="0563c1"/>
      <w:sz w:val="22"/>
      <w:szCs w:val="22"/>
      <w:u w:val="single" w:color="0563c1"/>
      <w:lang w:val="en-US"/>
      <w14:textFill>
        <w14:solidFill>
          <w14:srgbClr w14:val="0563C1"/>
        </w14:solidFill>
      </w14:textFill>
    </w:rPr>
  </w:style>
  <w:style w:type="character" w:styleId="Hyperlink.1">
    <w:name w:val="Hyperlink.1"/>
    <w:basedOn w:val="Ninguno"/>
    <w:next w:val="Hyperlink.1"/>
    <w:rPr>
      <w:rFonts w:ascii="Calibri" w:cs="Calibri" w:hAnsi="Calibri" w:eastAsia="Calibri"/>
      <w:outline w:val="0"/>
      <w:color w:val="0563c1"/>
      <w:sz w:val="16"/>
      <w:szCs w:val="16"/>
      <w:u w:val="single" w:color="0563c1"/>
      <w14:textOutline w14:w="12700" w14:cap="flat">
        <w14:noFill/>
        <w14:miter w14:lim="400000"/>
      </w14:textOutline>
      <w14:textFill>
        <w14:solidFill>
          <w14:srgbClr w14:val="0563C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